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CRDO</w:t>
      </w:r>
      <w:r>
        <w:rPr>
          <w:rFonts w:ascii="Calibri" w:hAnsi="Calibri"/>
          <w:b/>
          <w:color w:val="1A2010"/>
          <w:sz w:val="40"/>
        </w:rPr>
        <w:t xml:space="preserve">  Credo Technology Group Holding Ltd</w:t>
      </w:r>
    </w:p>
    <w:p>
      <w:pPr>
        <w:spacing w:after="120"/>
      </w:pPr>
      <w:r>
        <w:rPr>
          <w:rFonts w:ascii="Calibri" w:hAnsi="Calibri"/>
          <w:b/>
          <w:color w:val="6E8450"/>
          <w:sz w:val="18"/>
        </w:rPr>
        <w:t>GROWTH SLEEVE · 2026-04-06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Cayman Islands</w:t>
      </w:r>
    </w:p>
    <w:p>
      <w:pPr>
        <w:spacing w:after="80"/>
      </w:pPr>
      <w:r>
        <w:rPr>
          <w:rFonts w:ascii="Calibri" w:hAnsi="Calibri"/>
          <w:b w:val="0"/>
          <w:color w:val="3A4A28"/>
          <w:sz w:val="20"/>
        </w:rPr>
        <w:t>Credo Technology provides high-speed connectivity solutions for AI, cloud, and hyperscale data center networks. The company designs active electrical cables (AECs), optical PAM4 DSPs, SerDes chiplets, line card PHYs, and SerDes IP licensing, serving hyperscalers, OEMs, and optical module manufacturers. Credo pioneered AEC technology that has become critical infrastructure for AI cluster interconnects.</w:t>
      </w:r>
    </w:p>
    <w:p>
      <w:r>
        <w:rPr>
          <w:rFonts w:ascii="Calibri" w:hAnsi="Calibri"/>
          <w:b/>
          <w:color w:val="6E8450"/>
          <w:sz w:val="18"/>
        </w:rPr>
        <w:t>622 Employees · https://credosemi.com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Credo has executed one of the most impressive growth trajectories in semiconductors — revenue grew from $106.5M in FY2022 to $436.8M in FY2025 to a projected ~$1.3B+ run rate in FY2026, driven by the strategic pivot from pure SerDes IP licensing to system-level hardware products [1]. CEO Bill Brennan's decision to move from IP to AEC hardware was transformative, creating a new product category that became essential for AI data center buildouts [2]. AI Deployment (2/2): Credo's entire product line ships into AI infrastructure — HiWire AECs, optical PAM4 DSPs, and SerDes chiplets are deployed in hyperscaler AI clusters at scale, with Q3 FY2026 revenue of $407M (up 201.5% YoY) directly driven by AI demand [1]. Market Share (2/2): Credo is the leading provider of active electrical cables for AI interconnects, having pioneered the AEC category. The company's products are designed into multiple hyperscaler platforms including Microsoft and are advancing the 1.6T connectivity transition [3]. Pipeline (1/2): The 1.6T networking product pipeline is well-defined with specific product roadmaps, though the company is still building out its product portfolio relative to larger competitors like Broadcom [3]. R&amp;D Intensity (1/1): Credo invests heavily in R&amp;D relative to its size, with CTO Lawrence Cheng holding dozens of SerDes patents and the company maintaining engineering-heavy culture with 622 employees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Credo's tagline 'We Connect' and focus on advancing high-speed connectivity that enables AI and cloud computing is clear and differentiating within semiconductors, but it's functional rather than transformative — it describes what they do rather than a larger vision for the world [2]. Community Impact (1/2): Credo's 2025 ESG report highlights programs supporting employee health, safety, and professional growth, and the company's energy-efficient connectivity solutions reduce data center power consumption, though specific charitable programs with dollar amounts are not prominent [4]. Employee Retention (2/2): The company has an 'award-winning culture of innovation, collaboration and excellence' with an engineering-heavy workforce of 622 employees [2]. The leadership team includes long-tenured semiconductor veterans — CEO Brennan from Marvell/TI and CTO Cheng as founding architect — suggesting strong retention of key talent. Insider Buying (1/2): CEO Brennan has significant equity exposure through stock-based compensation; insider activity is roughly balanced with no standout net buying pattern.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Credo's financial profile is exceptional across nearly every metric. D/E of 0.88% reflects a virtually debt-free balance sheet [5]. ROE of 27.5% far exceeds the 15% target, demonstrating capital-efficient growth. Revenue growth of 201.5% YoY in the most recent period and a 3-year revenue CAGR of ~60% (FY2022 $106.5M to FY2025 $436.8M) show hypergrowth [1]. Forward P/E of 21.7x is reasonable for a semiconductor company growing revenue 170%+ annually. Profit margin of 31.8% with gross margins of 67.8% demonstrates strong pricing power in specialized connectivity silicon [1]. Q3 FY2026 revenue of $407M with Q4 guidance of $425-435M implies full-year FY2026 revenue of ~$1.3B, more than tripling FY2025 [1]. Liquidity floor cleared at $730M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Credo demonstrates strong infinite game characteristics for a young company — the strategic pivot from IP licensing to hardware products showed existential flexibility, and the engineering-centric culture suggests a company building for the long term. However, with only ~15 years of history and heavy dependence on a single demand cycle (AI), Credo has not yet been tested through adversity or multiple leadership transitions.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Credo's purpose of enabling the world's most advanced computing through energy-efficient, high-speed connectivity is genuine and distinctive within semiconductors [2]. The company's products directly enable AI progress and reduce data center power consumption, connecting their work to broader technological advancement. However, the cause hasn't been tested through a major downturn or leadership transition — it's partially lived but not yet validated by decades of execution.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Credo's engineering-heavy culture with 622 employees maintains the intimate, high-trust environment of a growth-stage semiconductor company [2]. The founding technical team, including CTO Cheng, remains in place, and the company has attracted experienced semiconductor veterans to key roles. The collaborative culture is cited as award-winning, though the company hasn't been tested through major organizational stress.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Credo competes against semiconductor giants like Broadcom and Marvell in connectivity silicon, and management's language focuses on technical differentiation (lower power, higher performance) rather than defeating competitors [3]. The company's innovation in AEC technology was driven by solving customer problems, not by competitive destruction. (1 point)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Brennan's decision to pivot Credo from a pure SerDes IP licensing business to a system-level hardware company producing AECs and chiplets was transformative — it fundamentally redefined the company's business model and created a new product category [2]. This pivot was driven by the strategic vision that connectivity would become a system-level challenge requiring integrated solutions, not by desperation. The move from IP to hardware is rare in semiconductors and required significant capital and organizational transformation. (2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high-margin IP licensing to capital-intensive hardware development required courage — Brennan bet the company's future on a product category (AECs) that didn't exist yet, accepting near-term margin pressure for long-term market creation [2]. The company maintained heavy R&amp;D investment through periods of modest revenue, demonstrating willingness to invest ahead of demand.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Credo Technology is the premier pure-play on AI data center connectivity, having pioneered the active electrical cable category that has become essential infrastructure for GPU cluster buildouts. Q3 FY2026 revenue of $407M (up 201.5% YoY) with Q4 guidance of $425-435M implies full-year revenue of ~$1.3B, more than tripling FY2025's $436.8M [1]. Gross margins of 67.8% and net margins of ~45% demonstrate exceptional pricing power in specialized connectivity silicon, while D/E of 0.88% reflects a virtually debt-free balance sheet [5]. At 21.7x forward P/E for a company growing revenue 170%+ annually with 30%+ profit margins, CRDO offers a rare combination of hypergrowth and profitability. The 1.6T networking transition and continued AI infrastructure buildout provide a multi-year demand runway as every new AI cluster requires Credo's interconnect solutions [3].</w:t>
      </w:r>
    </w:p>
    <w:p>
      <w:pPr>
        <w:spacing w:after="120"/>
      </w:pPr>
      <w:r>
        <w:rPr>
          <w:rFonts w:ascii="Calibri" w:hAnsi="Calibri"/>
          <w:b w:val="0"/>
          <w:color w:val="3A4A28"/>
          <w:sz w:val="20"/>
        </w:rPr>
        <w:t>The bear case focuses on customer concentration, competition, and valuation risk. Credo's revenue is heavily concentrated among a small number of hyperscaler customers — a single customer shift in supplier could materially impact results. Broadcom, Marvell, and other larger semiconductor companies are aggressively entering the AEC and high-speed connectivity market, and Credo's small scale (622 employees) may become a disadvantage as larger competitors bring R&amp;D resources to bear [3]. The trailing P/E of 56x reflects embedded growth expectations that leave little room for execution misses. Revenue growth of 201.5% YoY is extraordinary but likely to decelerate as the company scales — management's Q4 guidance of mid-single-digit sequential growth already signals moderation. A slowdown in hyperscaler AI capex spending, whether from ROI concerns or macro headwinds, would directly impact Credo's order book given its near-total dependence on AI infrastructure demand. The Cayman Islands domicile also creates governance complexity for U.S.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1.6T networking transition beginning in 2026-2027, requiring next-generation AECs and optical DSPs that represent Credo's core product roadmap [3]</w:t>
      </w:r>
    </w:p>
    <w:p>
      <w:pPr>
        <w:spacing w:before="40" w:after="40"/>
        <w:ind w:left="283"/>
      </w:pPr>
      <w:r>
        <w:rPr>
          <w:rFonts w:ascii="Calibri" w:hAnsi="Calibri"/>
          <w:b/>
          <w:color w:val="4A6B25"/>
          <w:sz w:val="20"/>
        </w:rPr>
        <w:t xml:space="preserve">2. </w:t>
      </w:r>
      <w:r>
        <w:rPr>
          <w:rFonts w:ascii="Calibri" w:hAnsi="Calibri"/>
          <w:b w:val="0"/>
          <w:color w:val="3A4A28"/>
          <w:sz w:val="20"/>
        </w:rPr>
        <w:t>Continued hyperscaler AI infrastructure buildout with Microsoft, Google, Meta, and Amazon collectively spending $200B+ annually on data centers, driving sustained demand for high-speed connectivity [1]</w:t>
      </w:r>
    </w:p>
    <w:p>
      <w:pPr>
        <w:spacing w:before="40" w:after="40"/>
        <w:ind w:left="283"/>
      </w:pPr>
      <w:r>
        <w:rPr>
          <w:rFonts w:ascii="Calibri" w:hAnsi="Calibri"/>
          <w:b/>
          <w:color w:val="4A6B25"/>
          <w:sz w:val="20"/>
        </w:rPr>
        <w:t xml:space="preserve">3. </w:t>
      </w:r>
      <w:r>
        <w:rPr>
          <w:rFonts w:ascii="Calibri" w:hAnsi="Calibri"/>
          <w:b w:val="0"/>
          <w:color w:val="3A4A28"/>
          <w:sz w:val="20"/>
        </w:rPr>
        <w:t>Potential customer diversification as enterprise and HPC markets adopt AI infrastructure, expanding Credo's addressable market beyond the top hyperscalers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Customer concentration risk — a small number of hyperscaler accounts generate the majority of revenue, and a single design-out or supplier shift could cause a significant revenue decline [1]</w:t>
      </w:r>
    </w:p>
    <w:p>
      <w:pPr>
        <w:spacing w:before="40" w:after="40"/>
        <w:ind w:left="283"/>
      </w:pPr>
      <w:r>
        <w:rPr>
          <w:rFonts w:ascii="Calibri" w:hAnsi="Calibri"/>
          <w:b/>
          <w:color w:val="4A6B25"/>
          <w:sz w:val="20"/>
        </w:rPr>
        <w:t xml:space="preserve">2. </w:t>
      </w:r>
      <w:r>
        <w:rPr>
          <w:rFonts w:ascii="Calibri" w:hAnsi="Calibri"/>
          <w:b w:val="0"/>
          <w:color w:val="3A4A28"/>
          <w:sz w:val="20"/>
        </w:rPr>
        <w:t>Competitive entry from Broadcom, Marvell, and other large semiconductor companies with greater R&amp;D budgets and existing customer relationships in the connectivity silicon market [3]</w:t>
      </w:r>
    </w:p>
    <w:p>
      <w:pPr>
        <w:spacing w:before="40" w:after="40"/>
        <w:ind w:left="283"/>
      </w:pPr>
      <w:r>
        <w:rPr>
          <w:rFonts w:ascii="Calibri" w:hAnsi="Calibri"/>
          <w:b/>
          <w:color w:val="4A6B25"/>
          <w:sz w:val="20"/>
        </w:rPr>
        <w:t xml:space="preserve">3. </w:t>
      </w:r>
      <w:r>
        <w:rPr>
          <w:rFonts w:ascii="Calibri" w:hAnsi="Calibri"/>
          <w:b w:val="0"/>
          <w:color w:val="3A4A28"/>
          <w:sz w:val="20"/>
        </w:rPr>
        <w:t>AI capex cycle dependency — a slowdown in hyperscaler data center spending due to ROI concerns or macroeconomic headwinds would directly reduce demand for Credo's products given near-total AI exposure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Credo IS AI infrastructure — the company's AECs, optical DSPs, and SerDes chiplets are the physical interconnect layer that enables AI clusters to communicate at scale [2][3]. AI cannot disrupt Credo because AI data centers cannot function without high-speed connectivity between GPUs, switches, and storage. Every expansion of AI compute directly increases demand for Credo's products. The company has been described as 'the connective tissue of AI' and is positioned at the epicenter of the 800G-to-1.6T networking transition that AI scale-out demands [3]. AI Opportunity (1/1): Essentially all of Credo's $1B+ annual revenue is AI-driven, with hyperscaler AI infrastructure buildouts as the primary demand driver. Q3 FY2026 revenue of $407M (up 201.5% YoY) is almost entirely attributable to AI data center connectivity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Credo Technology Q3 FY2026 Earnings Release — $407M revenue, 201.5% YoY growth, Q4 guidance $425-435M, March 2026</w:t>
      </w:r>
    </w:p>
    <w:p>
      <w:pPr>
        <w:spacing w:before="20" w:after="20"/>
        <w:ind w:left="170"/>
      </w:pPr>
      <w:r>
        <w:rPr>
          <w:rFonts w:ascii="Calibri" w:hAnsi="Calibri"/>
          <w:b/>
          <w:color w:val="4A6B25"/>
          <w:sz w:val="15"/>
        </w:rPr>
        <w:t xml:space="preserve">2. </w:t>
      </w:r>
      <w:r>
        <w:rPr>
          <w:rFonts w:ascii="Calibri" w:hAnsi="Calibri"/>
          <w:b w:val="0"/>
          <w:color w:val="3A4A28"/>
          <w:sz w:val="17"/>
        </w:rPr>
        <w:t>Credo Technology leadership page and company profile — CEO Bill Brennan, CTO Lawrence Cheng, engineering culture</w:t>
      </w:r>
    </w:p>
    <w:p>
      <w:pPr>
        <w:spacing w:before="20" w:after="20"/>
        <w:ind w:left="170"/>
      </w:pPr>
      <w:r>
        <w:rPr>
          <w:rFonts w:ascii="Calibri" w:hAnsi="Calibri"/>
          <w:b/>
          <w:color w:val="4A6B25"/>
          <w:sz w:val="15"/>
        </w:rPr>
        <w:t xml:space="preserve">3. </w:t>
      </w:r>
      <w:r>
        <w:rPr>
          <w:rFonts w:ascii="Calibri" w:hAnsi="Calibri"/>
          <w:b w:val="0"/>
          <w:color w:val="3A4A28"/>
          <w:sz w:val="17"/>
        </w:rPr>
        <w:t>FinancialContent — 'The AI Pipeline: A Deep Dive into Credo Technology Group and the Future of 1.6T Connectivity,' March 2026</w:t>
      </w:r>
    </w:p>
    <w:p>
      <w:pPr>
        <w:spacing w:before="20" w:after="20"/>
        <w:ind w:left="170"/>
      </w:pPr>
      <w:r>
        <w:rPr>
          <w:rFonts w:ascii="Calibri" w:hAnsi="Calibri"/>
          <w:b/>
          <w:color w:val="4A6B25"/>
          <w:sz w:val="15"/>
        </w:rPr>
        <w:t xml:space="preserve">4. </w:t>
      </w:r>
      <w:r>
        <w:rPr>
          <w:rFonts w:ascii="Calibri" w:hAnsi="Calibri"/>
          <w:b w:val="0"/>
          <w:color w:val="3A4A28"/>
          <w:sz w:val="17"/>
        </w:rPr>
        <w:t>Credo Technology 2025 ESG Report — environmental, social, and governance programs, December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CRDO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