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CRF</w:t>
      </w:r>
      <w:r>
        <w:rPr>
          <w:rFonts w:ascii="Calibri" w:hAnsi="Calibri"/>
          <w:b/>
          <w:color w:val="1A2010"/>
          <w:sz w:val="40"/>
        </w:rPr>
        <w:t xml:space="preserve">  Cornerstone Total Return Fund, Inc.</w:t>
      </w:r>
    </w:p>
    <w:p>
      <w:pPr>
        <w:spacing w:after="120"/>
      </w:pPr>
      <w:r>
        <w:rPr>
          <w:rFonts w:ascii="Calibri" w:hAnsi="Calibri"/>
          <w:b/>
          <w:color w:val="6E8450"/>
          <w:sz w:val="18"/>
        </w:rPr>
        <w:t>DIVIDEND SLEEVE · 2026-04-23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American · United States</w:t>
      </w:r>
    </w:p>
    <w:p>
      <w:pPr>
        <w:spacing w:after="80"/>
      </w:pPr>
      <w:r>
        <w:rPr>
          <w:rFonts w:ascii="Calibri" w:hAnsi="Calibri"/>
          <w:b w:val="0"/>
          <w:color w:val="3A4A28"/>
          <w:sz w:val="20"/>
        </w:rPr>
        <w:t>Cornerstone Total Return Fund is a diversified, closed-end management investment company incorporated in 1973. Managed by Cornerstone Advisors LLC, the fund invests in U.S. public equity markets across all capitalizations and sectors, including through other closed-end funds and ETFs. It operates a managed distribution policy targeting 21% of NAV annually.</w:t>
      </w:r>
    </w:p>
    <w:p>
      <w:r>
        <w:rPr>
          <w:rFonts w:ascii="Calibri" w:hAnsi="Calibri"/>
          <w:b/>
          <w:color w:val="6E8450"/>
          <w:sz w:val="18"/>
        </w:rPr>
        <w:t>https://www.cornerstonetotalreturnfund.com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CRF is a passive closed-end fund that invests in other funds and ETFs — it has no products, no business model innovation, and no meaningful strategic pivots in its 53-year history. Total return has underperformed the S&amp;P 500 benchmark: 51.65% vs 70.26% over 5 years [1]. AI Deployment (0/2): No AI deployment or strategy; the fund is managed by Cornerstone Advisors LLC with a straightforward equity allocation approach. Market Share (1/2): CRF has built a recognizable brand among income-seeking retail investors through its high-yield managed distribution policy, commanding a persistent premium to NAV (currently ~21%) that most closed-end funds cannot sustain [2]. Pipeline (0/2): No product pipeline; the fund's strategy has remained unchanged for decades. R&amp;D Intensity (1/1): Fund management fees fund the advisory relationship, but there is no R&amp;D in the traditional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CRF has no mission, purpose, or vision statement beyond generating returns and distributions for shareholders. The fund exists to make money — this is a purely financial vehicle with no articulated higher purpose [1]. Community Impact (0/2): No evidence of charitable programs, community investment, or any social impact beyond distributions to shareholders. Employee Retention (0/2): The fund has no employees; it is externally managed by Cornerstone Advisors LLC. No retention data is applicable. Insider Buying (1/2): Insider activity is notable but negative — there was insider selling at Cornerstone Total Return Fund flagged in late 2025, suggesting management lacks conviction in the fund's value proposition at current premium levels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CRF's financial metrics are distorted by its closed-end fund structure. The fund carries zero debt (D/E of 0%) and ROE of 17.8% is respectable, though this reflects investment gains rather than operating efficiency [4]. The critical weakness is the 136.8% payout ratio — distributions exceed investment income and realized gains, meaning the fund is systematically returning shareholders' own capital disguised as yield [2][3]. The 21% annualized distribution rate at current NAV is unsustainable without strong bull markets. NAV has declined from $6.24 (Sep 2023) to approximately $5.51 (Apr 2025), confirming capital erosion [3]. Consecutive years of dividends (40) is strong, but dividend per share has declined from $2.12 in 2020 to $1.39 in 2025 (5yr CAGR of -8.0%), reflecting the shrinking NAV base. Liquidity is adequate at $10.8M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Cornerstone Total Return Fund epitomizes finite game thinking — it exists to generate the highest possible current distribution, even at the cost of systematic NAV erosion. The 21% managed distribution policy funded by return of capital is the opposite of playing to keep playing; it is consuming the fund's own assets to maintain the appearance of income.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 has no Just Cause. The fund's sole purpose is to generate distributions for shareholders, with no vision of a better future, no aspiration beyond financial returns, and no articulated reason for existence beyond the managed distribution policy. This is a purely transactional financial vehicle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 has no employees and is externally managed by Cornerstone Advisors LLC. The trust question is between shareholders and the advisor, and the evidence suggests strained trust: insider selling, a $207M dilutive rights offering in May 2025, and a distribution policy widely criticized as returning shareholders' own capital [3]. The premium to NAV persists because retail investors misunderstand the distribution structure, not because of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CRF or Cornerstone Advisors acknowledges worthy rivals or uses competitive dynamics to improve. The fund operates in a universe of closed-end funds and ETFs but shows no competitive awareness or self-improvement orientation — the strategy has remained essentially unchanged for decades.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CRF has operated the same strategy for 53 years with no meaningful evolution. The managed distribution policy has been the defining characteristic, and rather than adapting to changing market conditions, the fund has doubled down on high distributions even as NAV erodes. The 2022 rights offering and ongoing capital return policy show rigidity, not flexibility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evidence of courageous leadership decisions. Maintaining an unsustainable 21% distribution rate when NAV is declining is the opposite of courage — it is the path of least resistance that keeps retail investors happy in the short term while destroying long-term value. A courageous leader would reduce distributions to preserve NAV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CRF appeals to income-seeking investors with a 19.7% dividend yield and a 40-year distribution history. The fund trades on NYSE American with $1.16B market cap and adequate liquidity of $10.8M daily dollar volume [1]. Trailing returns of 32.4% (1-year) and 3.5% (quarterly) show the fund participates in equity market upside through its diversified stock and ETF holdings [1]. Zero debt provides downside protection during market corrections. The P/E ratio of 7.0x reflects investment gains that create optically attractive valuation metrics.</w:t>
      </w:r>
    </w:p>
    <w:p>
      <w:pPr>
        <w:spacing w:after="120"/>
      </w:pPr>
      <w:r>
        <w:rPr>
          <w:rFonts w:ascii="Calibri" w:hAnsi="Calibri"/>
          <w:b w:val="0"/>
          <w:color w:val="3A4A28"/>
          <w:sz w:val="20"/>
        </w:rPr>
        <w:t>The bear case is compelling and structural. CRF's 21% managed distribution policy is funded primarily by return of capital — the 136.8% payout ratio confirms the fund is systematically returning shareholders' own money, eroding NAV from $6.24 (Sep 2023) to $5.51 (Apr 2025) [3]. The fund trades at a ~21% premium to NAV, meaning investors pay $1.21 for every $1.00 of underlying assets — a premium justified only if distributions are sustainable, which they demonstrably are not. Dividend per share has declined 34% from $2.12 in 2020 to $1.39 in 2025, reflecting the shrinking asset base. The $207M rights offering in May 2025 diluted existing shareholders while recapitalizing the distribution program [3]. CRF has underperformed the S&amp;P 500 on a total return basis (51.7% vs 70.3% over 5 years), meaning investors would have been better served by a simple index fund [1]. Insider selling in late 2025 signals management skepticism about the fund's own value proposition at current premiums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market rally — CRF's returns are directly tied to U.S. equity performance, and a sustained bull market would support NAV stability and distribution sustainability [1]</w:t>
      </w:r>
    </w:p>
    <w:p>
      <w:pPr>
        <w:spacing w:before="40" w:after="40"/>
        <w:ind w:left="283"/>
      </w:pPr>
      <w:r>
        <w:rPr>
          <w:rFonts w:ascii="Calibri" w:hAnsi="Calibri"/>
          <w:b/>
          <w:color w:val="4A6B25"/>
          <w:sz w:val="20"/>
        </w:rPr>
        <w:t xml:space="preserve">2. </w:t>
      </w:r>
      <w:r>
        <w:rPr>
          <w:rFonts w:ascii="Calibri" w:hAnsi="Calibri"/>
          <w:b w:val="0"/>
          <w:color w:val="3A4A28"/>
          <w:sz w:val="20"/>
        </w:rPr>
        <w:t>Premium narrowing trade — if the premium to NAV compresses from ~21% toward par, it could present a better entry point for income investors willing to accept the structural risks [3]</w:t>
      </w:r>
    </w:p>
    <w:p>
      <w:pPr>
        <w:spacing w:before="40" w:after="40"/>
        <w:ind w:left="283"/>
      </w:pPr>
      <w:r>
        <w:rPr>
          <w:rFonts w:ascii="Calibri" w:hAnsi="Calibri"/>
          <w:b/>
          <w:color w:val="4A6B25"/>
          <w:sz w:val="20"/>
        </w:rPr>
        <w:t xml:space="preserve">3. </w:t>
      </w:r>
      <w:r>
        <w:rPr>
          <w:rFonts w:ascii="Calibri" w:hAnsi="Calibri"/>
          <w:b w:val="0"/>
          <w:color w:val="3A4A28"/>
          <w:sz w:val="20"/>
        </w:rPr>
        <w:t>Distribution policy reform — reducing the 21% target to a sustainable level would stabilize NAV and signal long-term thinking, though this would likely trigger short-term selling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Systematic NAV erosion — 136.8% payout ratio funded by return of capital ensures the fund's asset base shrinks every year, creating a terminal decline trajectory unless market returns consistently exceed 21% annually [3]</w:t>
      </w:r>
    </w:p>
    <w:p>
      <w:pPr>
        <w:spacing w:before="40" w:after="40"/>
        <w:ind w:left="283"/>
      </w:pPr>
      <w:r>
        <w:rPr>
          <w:rFonts w:ascii="Calibri" w:hAnsi="Calibri"/>
          <w:b/>
          <w:color w:val="4A6B25"/>
          <w:sz w:val="20"/>
        </w:rPr>
        <w:t xml:space="preserve">2. </w:t>
      </w:r>
      <w:r>
        <w:rPr>
          <w:rFonts w:ascii="Calibri" w:hAnsi="Calibri"/>
          <w:b w:val="0"/>
          <w:color w:val="3A4A28"/>
          <w:sz w:val="20"/>
        </w:rPr>
        <w:t>Premium to NAV collapse — the ~21% premium is sustained by retail income seekers who may exit if they understand distributions are largely return of capital, triggering a severe price correction toward or below NAV [3]</w:t>
      </w:r>
    </w:p>
    <w:p>
      <w:pPr>
        <w:spacing w:before="40" w:after="40"/>
        <w:ind w:left="283"/>
      </w:pPr>
      <w:r>
        <w:rPr>
          <w:rFonts w:ascii="Calibri" w:hAnsi="Calibri"/>
          <w:b/>
          <w:color w:val="4A6B25"/>
          <w:sz w:val="20"/>
        </w:rPr>
        <w:t xml:space="preserve">3. </w:t>
      </w:r>
      <w:r>
        <w:rPr>
          <w:rFonts w:ascii="Calibri" w:hAnsi="Calibri"/>
          <w:b w:val="0"/>
          <w:color w:val="3A4A28"/>
          <w:sz w:val="20"/>
        </w:rPr>
        <w:t>Dilutive capital raises — the May 2025 rights offering ($207M) set a precedent for recurring dilution to recapitalize the distribution program, destroying per-share value for existing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CRF is a closed-end equity fund — its assets are publicly traded stocks and other funds, which AI cannot directly displace or substitute. The fund's value proposition is income generation through managed distributions, not active management alpha that AI-driven quantitative strategies could erode [1]. However, the rise of AI-powered investment platforms and robo-advisors offering low-cost income solutions creates moderate competitive pressure on high-fee closed-end fund structures. The 21% premium to NAV is also vulnerable to retail investor behavior shifts driven by AI-powered financial advice tools [3]. AI Opportunity (1/1): The fund's portfolio likely includes meaningful exposure to AI-beneficiary stocks through its equity and ETF holdings, providing indirect AI revenue participation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Cornerstone Total Return Fund corporate website and CEFA profile — fund overview, distribution policy, performance data</w:t>
      </w:r>
    </w:p>
    <w:p>
      <w:pPr>
        <w:spacing w:before="20" w:after="20"/>
        <w:ind w:left="170"/>
      </w:pPr>
      <w:r>
        <w:rPr>
          <w:rFonts w:ascii="Calibri" w:hAnsi="Calibri"/>
          <w:b/>
          <w:color w:val="4A6B25"/>
          <w:sz w:val="15"/>
        </w:rPr>
        <w:t xml:space="preserve">2. </w:t>
      </w:r>
      <w:r>
        <w:rPr>
          <w:rFonts w:ascii="Calibri" w:hAnsi="Calibri"/>
          <w:b w:val="0"/>
          <w:color w:val="3A4A28"/>
          <w:sz w:val="17"/>
        </w:rPr>
        <w:t>Cornerstone Funds distribution announcement — monthly distributions of $0.1176, 21% annualized distribution rate,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AInvest — CRF premium to NAV analysis, insider selling, return of capital concerns, rights offering critique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CRF (Cornerstone Total Return Fund),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