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CRGY</w:t>
      </w:r>
      <w:r>
        <w:rPr>
          <w:rFonts w:ascii="Calibri" w:hAnsi="Calibri"/>
          <w:b/>
          <w:color w:val="1A2010"/>
          <w:sz w:val="40"/>
        </w:rPr>
        <w:t xml:space="preserve">  Crescent Energy Company</w:t>
      </w:r>
    </w:p>
    <w:p>
      <w:pPr>
        <w:spacing w:after="120"/>
      </w:pPr>
      <w:r>
        <w:rPr>
          <w:rFonts w:ascii="Calibri" w:hAnsi="Calibri"/>
          <w:b/>
          <w:color w:val="6E8450"/>
          <w:sz w:val="18"/>
        </w:rPr>
        <w:t>GROWTH SLEEVE · 2026-03-28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Crescent Energy Company is a Houston-based exploration and production company focused on crude oil, natural gas, and NGLs in the Eagle Ford, Permian, and Uinta Basins. Backed by KKR, the company has tripled in size since its December 2021 IPO through nearly $5 billion in strategic acquisitions, including the Vital Energy acquisition in December 2025.</w:t>
      </w:r>
    </w:p>
    <w:p>
      <w:r>
        <w:rPr>
          <w:rFonts w:ascii="Calibri" w:hAnsi="Calibri"/>
          <w:b/>
          <w:color w:val="6E8450"/>
          <w:sz w:val="18"/>
        </w:rPr>
        <w:t>1,066 Employees · https://crescentenergyco.com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Crescent has executed nearly $5B in acquisitions since going public in December 2021, including the high-profile Vital Energy acquisition in late 2025 that significantly expanded its Permian Basin position [1]. This is a proven roll-up strategy, not product innovation — the company executes well on a serial acquisition model but has not pivoted or launched new business lines. AI Deployment (0/2): No evidence of AI-powered products or specific AI-driven cost savings. The broader E&amp;P industry is adopting predictive maintenance and reservoir optimization, but Crescent has not publicly detailed any AI deployment [2]. Market Share (1/2): Crescent has grown to 268,000 boe/d in Q4 2025, establishing itself as a meaningful mid-cap E&amp;P player, but it is not a category leader in any basin [1]. Pipeline (1/2): Management doubled synergy targets from the Vital Energy acquisition and highlighted development returns at record levels, providing near-term production growth visibility [1]. R&amp;D Intensity (1/1): For an E&amp;P company, Crescent invests above average in operational optimization and its minerals portfolio compounds at a 20% annual growth rate over five years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Crescent's stated values — 'Set High Standards, Measure and Improve, Act with Urgency, Pursue Mastery and Innovation' — are performance-oriented and interchangeable with any E&amp;P peer [2]. There is no articulated vision of a better future beyond shareholder returns. Community Impact (1/2): Crescent maintains ESG programs including OGMP 2.0 Gold Standard rating for methane management, commitments to eliminate routine flaring, and carbon capture expansion [3]. These are credible but standard for modern E&amp;P companies. Employee Retention (1/2): The company has 1,066 employees with nearly 30% women in senior leadership and 50% female board representation, suggesting a progressive culture for the industry [2]. No turnover data available. Insider Buying (1/2): CEO David Rockecharlie is a KKR Partner with significant equity exposure through KKR's ownership stake, aligning management with shareholders. However, no evidence of direct open-market insider purchases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Crescent's financial profile reflects the trade-offs of an acquisition-driven growth model. D/E of 107.1% is elevated but manageable for an E&amp;P company, partially reflecting acquisition-related debt [4]. ROE of 3.5% is well below the 15% target, dragged down by acquisition goodwill and a thin 3.7% profit margin on $3.58B revenue [1][4]. Forward P/E of 9.2x is deeply discounted, reflecting commodity cyclicality and market skepticism about the acquisition strategy's sustainability. Revenue grew from $2.38B (2023) to $3.58B (2025), a solid trajectory driven largely by acquisitions rather than organic growth [1]. The 88.9% payout ratio on the $0.48 annual dividend ($0.12/quarter) is concerning relative to GAAP earnings. Liquidity floor easily cleared at $104M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Crescent Energy under KKR-affiliated CEO David Rockecharlie operates with a disciplined, returns-focused acquisition model that has tripled the company's size since 2021. However, the KKR private equity heritage raises questions about whether the company is playing to build an enduring enterprise or executing a financial engineering playbook designed to generate returns on a finite timeline.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Crescent's articulated values emphasize high standards, urgency, and improvement — performance metrics, not a vision of a better future [2]. The company exists to generate returns through disciplined E&amp;P acquisitions, which is a legitimate business strategy but not a Just Cause in Sinek's framework. There is no articulated purpose beyond shareholder value creation.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1,066 employees, Crescent operates lean and efficiently. The 50% female board representation and 30% women in senior leadership suggest an inclusive culture [2]. S&amp;P Global upgraded Crescent's credit rating, indicating external validation of management competence. However, no specific employee satisfaction data or turnover metrics are publicly available to assess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Crescent's competitive language focuses on 'owning the Permian efficiency curve' and generating 'the strongest development returns in its history' — this is winning language, not learning language [1]. The acquisition-driven model is inherently about outcompeting for assets rather than improving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Crescent has shown meaningful adaptability — building a minerals and royalty portfolio that compounds at 20% annually alongside its E&amp;P operations, and diversifying across Eagle Ford, Permian, and Uinta Basins [1]. The Vital Energy acquisition represented a strategic bet on Permian scale. These are incremental evolutions of the core model,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doubled synergy targets from the Vital Energy acquisition and committed to a $400M buyback authorization alongside the dividend, showing willingness to invest in scale during uncertainty [1]. The OGMP 2.0 Gold Standard commitment on methane management demonstrates proactive environmental leadership. However, the KKR-backed model inherently optimizes for financial returns rather than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Crescent Energy is a compelling value play at 9.2x forward P/E with a 3.5% dividend yield, producing 268,000 boe/d across premium U.S. basins after nearly $5B in acquisitions since its 2021 IPO [1]. The company generated $239M in levered free cash flow in Q4 2025, doubled Permian synergy targets, and maintains a minerals portfolio compounding at 20% annually — providing a low-cost, high-margin cash stream that supports both the dividend and $400M buyback authorization [1]. Analyst consensus target of $13.21 suggests upside from recent levels, and the deeply discounted valuation reflects market skepticism that may be overdone if commodity prices hold.</w:t>
      </w:r>
    </w:p>
    <w:p>
      <w:pPr>
        <w:spacing w:after="120"/>
      </w:pPr>
      <w:r>
        <w:rPr>
          <w:rFonts w:ascii="Calibri" w:hAnsi="Calibri"/>
          <w:b w:val="0"/>
          <w:color w:val="3A4A28"/>
          <w:sz w:val="20"/>
        </w:rPr>
        <w:t>The bear case centers on Crescent's acquisition-dependent growth model and thin profitability. GAAP profit margin of just 3.7% on $3.58B revenue means the company generates only $133M in net income, making the 88.9% payout ratio unsustainable without improvement [4]. D/E of 107% reflects the debt accumulated through serial acquisitions, and integration risk from the Vital Energy deal remains. Revenue declined 1.2% YoY despite the acquisition activity, suggesting organic volumes are flat to down. The KKR affiliation raises finite-game concerns — PE-backed E&amp;P companies have a history of optimizing for exit rather than long-term value creation. Oil price volatility remains the existential risk: a sustained move below $60/bbl WTI would stress cash flows and potentially force a dividend cut.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Vital Energy acquisition integration — doubled synergy targets from Permian operations could significantly expand margins and free cash flow through 2026 [1]</w:t>
      </w:r>
    </w:p>
    <w:p>
      <w:pPr>
        <w:spacing w:before="40" w:after="40"/>
        <w:ind w:left="283"/>
      </w:pPr>
      <w:r>
        <w:rPr>
          <w:rFonts w:ascii="Calibri" w:hAnsi="Calibri"/>
          <w:b/>
          <w:color w:val="4A6B25"/>
          <w:sz w:val="20"/>
        </w:rPr>
        <w:t xml:space="preserve">2. </w:t>
      </w:r>
      <w:r>
        <w:rPr>
          <w:rFonts w:ascii="Calibri" w:hAnsi="Calibri"/>
          <w:b w:val="0"/>
          <w:color w:val="3A4A28"/>
          <w:sz w:val="20"/>
        </w:rPr>
        <w:t>Minerals portfolio compounding at 20% annually provides high-margin, low-capex cash flow that insulates against commodity price volatility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energy demand growth increasing long-term natural gas demand, benefiting Crescent's Eagle Ford gas-weighted production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cyclicality — a sustained move below $60/bbl WTI would compress cash flows and potentially force a dividend cut on the already-stretched 88.9% payout ratio [4]</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 the Vital Energy deal and nearly $5B in cumulative transactions create execution complexity with D/E already at 107% [1]</w:t>
      </w:r>
    </w:p>
    <w:p>
      <w:pPr>
        <w:spacing w:before="40" w:after="40"/>
        <w:ind w:left="283"/>
      </w:pPr>
      <w:r>
        <w:rPr>
          <w:rFonts w:ascii="Calibri" w:hAnsi="Calibri"/>
          <w:b/>
          <w:color w:val="4A6B25"/>
          <w:sz w:val="20"/>
        </w:rPr>
        <w:t xml:space="preserve">3. </w:t>
      </w:r>
      <w:r>
        <w:rPr>
          <w:rFonts w:ascii="Calibri" w:hAnsi="Calibri"/>
          <w:b w:val="0"/>
          <w:color w:val="3A4A28"/>
          <w:sz w:val="20"/>
        </w:rPr>
        <w:t>Organic production decline — revenue fell 1.2% YoY despite acquisition-driven volume additions, suggesting base production declines may be offsetting acquired volumes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industrial process that AI structurally cannot displace — extracting hydrocarbons from subsurface formations requires drilling rigs, completions crews, surface facilities, and geological expertise that no AI can substitute [2]. AI actually increases demand for energy as data center power consumption surges, directly benefiting E&amp;P producers. Crescent's operations in Eagle Ford, Permian, and Uinta Basins involve physical assets and regulatory-intensive processes immune to AI substitution. AI Opportunity (0/1): No evidence of meaningful AI-generated revenue. While the broader E&amp;P industry uses AI for reservoir modeling and predictive maintenance, Crescent has not publicly disclosed specific AI products or quantifiable AI-driven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Crescent Energy Q4 2025 Earnings — 268,000 boe/d production, $239M levered FCF, doubled Permian synergy targets, $400M buyback authorization,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Crescent Energy leadership profile — CEO David Rockecharlie (KKR Partner), corporate values, 50% female board, OGMP 2.0 Gold Standard, 2026</w:t>
      </w:r>
    </w:p>
    <w:p>
      <w:pPr>
        <w:spacing w:before="20" w:after="20"/>
        <w:ind w:left="170"/>
      </w:pPr>
      <w:r>
        <w:rPr>
          <w:rFonts w:ascii="Calibri" w:hAnsi="Calibri"/>
          <w:b/>
          <w:color w:val="4A6B25"/>
          <w:sz w:val="15"/>
        </w:rPr>
        <w:t xml:space="preserve">3. </w:t>
      </w:r>
      <w:r>
        <w:rPr>
          <w:rFonts w:ascii="Calibri" w:hAnsi="Calibri"/>
          <w:b w:val="0"/>
          <w:color w:val="3A4A28"/>
          <w:sz w:val="17"/>
        </w:rPr>
        <w:t>Crescent Energy ESG reports — methane management commitments, flaring elimination, carbon capture expansion,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CRGY (Crescent Energy Company),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