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CRH</w:t>
      </w:r>
      <w:r>
        <w:rPr>
          <w:rFonts w:ascii="Calibri" w:hAnsi="Calibri"/>
          <w:b/>
          <w:color w:val="1A2010"/>
          <w:sz w:val="40"/>
        </w:rPr>
        <w:t xml:space="preserve">  CRH PLC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2026-03-31 · Inspire: 53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Building Materials · NYSE · Ireland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CRH plc is the largest building materials company in North America and among the largest globally, producing aggregates, cement, ready-mixed concrete, asphalt, and infrastructure products. The company operates 3,961 locations across 28 countries, with 75% of EBITDA derived from North America. CRH joined the S&amp;P 500 in December 2025.</w:t>
      </w:r>
    </w:p>
    <w:p>
      <w:r>
        <w:rPr>
          <w:rFonts w:ascii="Calibri" w:hAnsi="Calibri"/>
          <w:b/>
          <w:color w:val="6E8450"/>
          <w:sz w:val="18"/>
        </w:rPr>
        <w:t>78,500 Employees · https://www.crh.com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CRH delivered record FY2025 revenue of $37.4B (up 5% YoY), net income of $3.8B (up 8%), and adjusted EBITDA of $7.7B (up 11%) with EPS of $5.51 (up 10%) [1]. EBITDA margin expanded to 20.5% from 19.5%, demonstrating pricing power and operational discipline. AI Deployment (1/2): CRH Ventures ($250M fund) has partnered with Citylogix for AI-powered pavement condition assessment and invested in ConTech/ClimateTech startups, though AI adoption in core operations remains early-stage [2]. Market Share (2/2): CRH is the largest aggregates and asphalt producer in the US, with dominant local market positions across its 3,961 locations providing pricing power and logistics moats [1]. Pipeline (1/2): FY2026 guidance of $3.9-4.1B net income and $8.1-8.5B EBITDA projects continued growth, supported by infrastructure spending tailwinds and $5.8B in growth investments in FY2025 [1]. R&amp;D Intensity (0/1): R&amp;D is primarily focused on low-carbon cement and concrete innovations rather than technology differentiation, typical for the building materials sector.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CRH's mission to 'build a better future' through sustainable infrastructure aligns with global megatrends in decarbonization and reindustrialization. The company's SBTi-validated 1.5C-aligned targets and commitment to net-zero by 2050 add credibility [3]. Community Impact (2/2): CRH employs 78,500 people across 28 countries, supports critical infrastructure (40% of revenue), and invests in sustainable construction solutions including recycled concrete and low-carbon cement [3]. Employee Retention (1/2): Glassdoor rating of 3.9/5 with 75% recommendation rate is solid; employees describe an entrepreneurial culture where innovation is encouraged, though the decentralized operating model can create inconsistency across regions [2]. Insider Buying (0/2): No notable insider buying flagged in recent reports; CEO Albert Manifold's compensation structure is performance-linked but specific buying activity is not prominent.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CRH's financial profile reflects a well-managed industrial company. FY2025 revenue of $37.4B with 20.5% EBITDA margin and 10.0% profit margin demonstrates operational efficiency [1]. Forward P/E of 15.9x is reasonable for a company guiding to $3.9-4.1B net income (3-8% growth) with S&amp;P 500 inclusion driving index fund demand. ROE of 15.7% and revenue growth of 6.2% YoY show consistent value creation. D/E of 77.3% is manageable for a capital-intensive building materials company, supported by strong cash generation ($5.8B deployed in growth investments plus $2.2B returned to shareholders in FY2025) [1]. Dividend yield of approximately 1.5% with 5% annual increase and share buyback program. Liquidity floor easily cleared: 5.3M avg vol x $105.12 = $559M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CRH exemplifies infinite game thinking through its multi-decade infrastructure focus, SBTi-validated decarbonization commitments, $250M CRH Ventures fund investing in ConTech/ClimateTech, and consistent capital allocation that balances growth investments ($5.8B in FY2025) with shareholder returns ($2.2B). The company builds literal infrastructure that lasts generations.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Building sustainable infrastructure that enables economic development and addresses climate change is a compelling, enduring just cause. CRH's commitment to net-zero by 2050 with SBTi-validated 1.5C targets, development of recycled concrete solutions, and $250M CRH Ventures climate technology fund demonstrate the cause goes beyond rhetoric [3]. Infrastructure — roads, bridges, water systems — serves fundamental human needs.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rating of 3.9/5 with 75% recommendation rate reflects healthy employee engagement. CRH's culture is described as entrepreneurial and empowering, with senior leaders actively participating in discussions on performance and innovation [2]. The decentralized operating model gives local teams autonomy, fostering ownership. Executive team rated in Top 25% of similar-size companies on Comparably. The 78,500-employee workforce across 28 countries requires strong trust systems to maintain cultural consistency.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CRH competes against Holcim, Cemex, Martin Marietta, and Vulcan Materials, ranking 2nd among competitors on Comparably leadership scores. The S&amp;P 500 inclusion positions CRH directly against US-listed building materials peers, and the company's proactive decarbonization and digital transformation investments demonstrate learning from rivals' innovations [2]. CEO Albert Manifold served as GCCA's first president, showing industry-wide engagement.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CRH has evolved from an Irish cement company to the largest building materials company in North America through strategic acquisitions ($5.8B deployed in FY2025 alone), NYSE primary listing (2023), and S&amp;P 500 inclusion (2025) [1]. The pivot toward US infrastructure, decarbonization technologies, and digital construction through CRH Ventures demonstrates continuous reinvention while maintaining core competencies.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CRH set industry-leading SBTi-validated 1.5C-aligned decarbonization targets despite operating in one of the most carbon-intensive industries (33.9M tonnes CO2e Scope 1 in 2023, reduced 4% to 29.7M tonnes) [3]. The decision to move the primary listing from London to NYSE in 2023 and pursue S&amp;P 500 inclusion showed bold strategic vision. The $250M CRH Ventures fund investing in construction technology startups demonstrates forward-looking leadership.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CRH is the dominant North American building materials company, delivering record FY2025 results — $37.4B revenue (up 5%), $7.7B adjusted EBITDA (up 11%, 20.5% margin), and $5.51 EPS (up 10%) — with FY2026 guidance projecting $8.1-8.5B EBITDA [1]. The company benefits from structural tailwinds: US infrastructure spending (IIJA, CHIPS Act), data center construction, reshoring/reindustrialization, and aging infrastructure replacement. CRH's local logistics moats across 3,961 locations create durable competitive advantages with pricing power. S&amp;P 500 inclusion (December 2025) drives index fund demand and valuation re-rating. At 15.9x forward P/E, the stock offers reasonable value for a company with 10%+ EPS growth, strong cash generation ($5.8B deployed in growth investments plus $2.2B to shareholders), and SBTi-validated decarbonization leadership [1][3].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cyclical exposure and carbon-intensive operations. At $105.12, the stock has declined from the SMA-50 of $115.24, reflecting macro uncertainty around US construction spending and tariff impacts on input costs. CRH's cement operations produce 33.9M tonnes of CO2e (Scope 1), making it one of the most carbon-intensive companies in the S&amp;P 500 — tightening carbon regulations and emissions caps could significantly increase compliance costs [3]. Historical anti-competitive behavior (Irish cement cartel fine, Polish price-fixing, West Virginia allegations) creates governance risk [3]. D/E of 77.3% reflects acquisition-driven leverage, and the 32% residential revenue exposure creates housing cycle sensitivity. The dividend yield of approximately 1.5% is modest for income investors, though the 5% annual increase and buyback program enhance total returns. A construction downturn or infrastructure spending pullback would directly impact the top line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US infrastructure spending acceleration (IIJA, CHIPS Act, data center construction) driving sustained demand for aggregates, cement, and asphalt — 40% of CRH revenue from infrastructure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FY2026 EBITDA guidance of $8.1-8.5B (5-10% growth) with continued margin expansion from pricing power and operational efficiency across 3,961 locations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S&amp;P 500 inclusion (December 2025) driving index fund buying, analyst coverage expansion, and US investor base broadening for a $70B market cap company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Carbon-intensive operations (33.9M tonnes CO2e Scope 1) expose CRH to tightening emissions regulations, carbon taxation, and increasing compliance costs in the EU and potentially US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Cyclical construction exposure — 32% residential and 28% non-residential revenue creates vulnerability to housing downturns, rising interest rates, and construction spending pullbacks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Historical anti-competitive behavior (cartel fines in Ireland and Poland, West Virginia allegations) creates ongoing governance and regulatory risk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Building materials production and distribution is a physical, asset-heavy business with strong local logistics moats that AI cannot disrupt — you cannot 3D-print aggregates or transport cement digitally [2]. CRH's 3,961 locations create proximity advantages that are inherently AI-resistant. The company proactively uses AI through CRH Ventures partnerships (Citylogix AI pavement assessment, ConTech investments) to enhance operations rather than being disrupted by them [2]. However, AI-optimized construction planning could reduce overall materials demand through waste reduction. AI Opportunity (1/1): AI-powered infrastructure assessment tools, predictive maintenance, logistics optimization, and low-carbon formulation development represent meaningful efficiency gains for CRH's operations and customer value proposition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CRH FY2025 Results Announcement — $37.4B revenue, $7.7B EBITDA, $5.51 EPS, FY2026 guidance,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CRH Ventures, Glassdoor reviews, Comparably leadership ratings, Citylogix AI partnership,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Climate Action 100+, Sustainalytics (Strong ESG rating), SBTi targets, historical competition fines, 2023-2026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CRH (CRH PLC), retrieved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