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CRK</w:t>
      </w:r>
      <w:r>
        <w:rPr>
          <w:rFonts w:ascii="Calibri" w:hAnsi="Calibri"/>
          <w:b/>
          <w:color w:val="1A2010"/>
          <w:sz w:val="40"/>
        </w:rPr>
        <w:t xml:space="preserve">  Comstock Resources, Inc.</w:t>
      </w:r>
    </w:p>
    <w:p>
      <w:pPr>
        <w:spacing w:after="120"/>
      </w:pPr>
      <w:r>
        <w:rPr>
          <w:rFonts w:ascii="Calibri" w:hAnsi="Calibri"/>
          <w:b/>
          <w:color w:val="6E8450"/>
          <w:sz w:val="18"/>
        </w:rPr>
        <w:t>GROWTH SLEEVE · 2026-04-13 · Inspire: 39 · MIXED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FFF8E1" w:val="clear"/>
          </w:tcPr>
          <w:p>
            <w:pPr>
              <w:spacing w:before="40" w:after="40"/>
              <w:jc w:val="center"/>
            </w:pPr>
            <w:r>
              <w:rPr>
                <w:rFonts w:ascii="Calibri" w:hAnsi="Calibri"/>
                <w:b/>
                <w:color w:val="D97706"/>
                <w:sz w:val="20"/>
              </w:rPr>
              <w:t>HOLD</w:t>
            </w:r>
          </w:p>
        </w:tc>
      </w:tr>
    </w:tbl>
    <w:p>
      <w:pPr>
        <w:spacing w:before="120" w:after="200"/>
      </w:pPr>
      <w:r>
        <w:rPr>
          <w:rFonts w:ascii="Calibri" w:hAnsi="Calibri"/>
          <w:b/>
          <w:color w:val="1A2010"/>
          <w:sz w:val="80"/>
        </w:rPr>
        <w:t>60</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Energy · Oil &amp; Gas E&amp;P · NYSE · United States</w:t>
      </w:r>
    </w:p>
    <w:p>
      <w:pPr>
        <w:spacing w:after="80"/>
      </w:pPr>
      <w:r>
        <w:rPr>
          <w:rFonts w:ascii="Calibri" w:hAnsi="Calibri"/>
          <w:b w:val="0"/>
          <w:color w:val="3A4A28"/>
          <w:sz w:val="20"/>
        </w:rPr>
        <w:t>Comstock Resources is a Frisco, Texas-based natural gas exploration and production company with a core position in the Haynesville Shale of Northwest Louisiana and the developing Western Haynesville play in East Texas. Dallas Cowboys owner Jerry Jones is the largest shareholder (~71%), having committed over $1B to fund the Western Haynesville development that sits adjacent to the Gulf Coast LNG corridor and the Dallas-Houston AI data center buildout.</w:t>
      </w:r>
    </w:p>
    <w:p>
      <w:r>
        <w:rPr>
          <w:rFonts w:ascii="Calibri" w:hAnsi="Calibri"/>
          <w:b/>
          <w:color w:val="6E8450"/>
          <w:sz w:val="18"/>
        </w:rPr>
        <w:t>320 Employees · https://www.comstockresources.com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(2/3): Q4 2025 revenue of $361.8M (+5.9% YoY) missed analyst estimates by 21.9% on the top line, though non-GAAP EPS of $0.16 beat consensus by 38.1% [1]. TTM revenue of $1.92B (vs $1.25B in 2024) shows meaningful production growth [1]. AI Deployment (1/2): Comstock's 'AI exposure' is its strategic location — the Western Haynesville sits between Dallas and Houston, the heart of new US AI data center development, and the company is exploring a power generation partnership with NextEra to serve potential data center clients [2]. AI is a demand catalyst, not an operational tool. Market Share (1/2): Top-five Haynesville producer with the most acreage in the new Western Haynesville play — a strategic rather than dominant share position. Pipeline (2/2): The Western Haynesville has been called 'the holy grail' of supply for AI power needs given its proximity to LNG export and data center load; CEO Jay Allison and Jerry Jones are betting big on the multi-year development [2]. R&amp;D Intensity (0/1): Not applicable; Comstock's edge is geological/operational know-how rather than R&amp;D spend.</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(3/4): CEO Jay Allison is the longest-tenured public oil-and-gas CEO and has built Comstock around a clearly articulated mission of finding 'the last great play in America' — the Western Haynesville [2]. Allison emphasizes a culture where '100 percent of our team held no distorted view of reality' [2]. Community Impact (1/2): Natural gas production fuels US LNG exports and AI data center power; MiQ methane certification demonstrates responsible-sourcing commitment [3]. Employee Retention (1/2): Limited Glassdoor visibility for a small ~320-employee E&amp;P, but CEO tenure and the cohesive Allison/Jones partnership signal a stable leadership culture [2]. Insider Buying (1/2): Jerry Jones's ownership stake reaches ~71% after his $1B+ investment, including an additional $100M tranche — extraordinary insider conviction [2].</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Stock at ~$17.80 with ~$5.75B market cap and trailing P/E of ~13.4x [4]. Q4 2025 revenue of $361.8M missed estimates by 21.9%, though non-GAAP EPS beat by 38.1% on cost control [1]. ROE of 6.71% and net margin of 3.14% reflect natural-gas-price sensitivity [1]. Total debt of ~$3.05B with D/E of 95-98% and Debt/EBITDA of 1.27x is manageable but elevated, and levered FCF of -$335.56M (TTM) signals significant Western Haynesville drilling outspend that requires capital recycling or asset sales [4]. Comstock recently sold $445M of Haynesville/Cotton Valley assets to fund development [3]. No dividend currently paid. Liquidity easily clears $1M floor on multi-million-share daily volume. The score reflects elevated debt, negative FCF during the buildout, but a manageable leverage profile underwritten by Jerry Jones's $1B+ commitment.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B8860B"/>
          <w:sz w:val="22"/>
        </w:rPr>
        <w:t>MIXED</w:t>
      </w:r>
      <w:r>
        <w:rPr>
          <w:rFonts w:ascii="Calibri" w:hAnsi="Calibri"/>
          <w:b w:val="0"/>
          <w:color w:val="6E8450"/>
          <w:sz w:val="22"/>
        </w:rPr>
        <w:t xml:space="preserve">      Overall: </w:t>
      </w:r>
      <w:r>
        <w:rPr>
          <w:rFonts w:ascii="Calibri" w:hAnsi="Calibri"/>
          <w:b/>
          <w:color w:val="B8860B"/>
          <w:sz w:val="28"/>
        </w:rPr>
        <w:t>6</w:t>
      </w:r>
      <w:r>
        <w:rPr>
          <w:rFonts w:ascii="Calibri" w:hAnsi="Calibri"/>
          <w:b w:val="0"/>
          <w:color w:val="9DAF88"/>
          <w:sz w:val="18"/>
        </w:rPr>
        <w:t xml:space="preserve"> /10</w:t>
      </w:r>
    </w:p>
    <w:p>
      <w:pPr>
        <w:spacing w:after="120"/>
      </w:pPr>
      <w:r>
        <w:rPr>
          <w:rFonts w:ascii="Calibri" w:hAnsi="Calibri"/>
          <w:b w:val="0"/>
          <w:color w:val="3A4A28"/>
          <w:sz w:val="18"/>
        </w:rPr>
        <w:t>Comstock under Jay Allison (longest-tenured public E&amp;P CEO) and Jerry Jones (~71% owner with $1B+ committed) is playing a generational bet on the Western Haynesville — the kind of multi-decade infinite-game thinking rare in commodity E&amp;P. However, the leverage profile, negative FCF during the buildout, and natural-gas-price exposure constrain optionality. The mindset is genuinely long-term, but the execution must navigate a volatile commodity cycle.</w:t>
      </w:r>
    </w:p>
    <w:p>
      <w:pPr>
        <w:spacing w:before="200" w:after="40"/>
      </w:pPr>
      <w:r>
        <w:rPr>
          <w:rFonts w:ascii="Calibri" w:hAnsi="Calibri"/>
          <w:b/>
          <w:color w:val="1A2010"/>
          <w:sz w:val="22"/>
        </w:rPr>
        <w:t>Just Cause</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Allison's articulation of finding 'the last great play in America' — the Western Haynesville to fuel US LNG exports and AI data centers — is a clear, durable, and societally relevant just cause [2]. Jerry Jones's $1B+ personal commitment underscores its credibility.</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Allison's emphasis that '100 percent of our team held no distorted view of reality' speaks to a culture of intellectual honesty rare in E&amp;P [2]. Stable executive tenure and the Allison/Jones partnership signal high-trust leadership, though limited public Glassdoor data tempers the score.</w:t>
      </w:r>
    </w:p>
    <w:p>
      <w:pPr>
        <w:spacing w:before="200" w:after="40"/>
      </w:pPr>
      <w:r>
        <w:rPr>
          <w:rFonts w:ascii="Calibri" w:hAnsi="Calibri"/>
          <w:b/>
          <w:color w:val="1A2010"/>
          <w:sz w:val="22"/>
        </w:rPr>
        <w:t>Worthy Rivals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Competes with Expand Energy (formerly Chesapeake/Southwestern), EQT, Range Resources, and Antero in the broader US natural gas play set, with Aethon and BPX as private Haynesville rivals — a deep bench that drives operational discipline.</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The pivot from legacy Haynesville to the Western Haynesville and the active exploration of NextEra power-generation partnerships and direct-to-data-center sales represent genuine flexibility [2]. The $445M asset sale to fund Western Haynesville drilling demonstrates capital reallocation discipline [3].</w:t>
      </w:r>
    </w:p>
    <w:p>
      <w:pPr>
        <w:spacing w:before="200" w:after="40"/>
      </w:pPr>
      <w:r>
        <w:rPr>
          <w:rFonts w:ascii="Calibri" w:hAnsi="Calibri"/>
          <w:b/>
          <w:color w:val="1A2010"/>
          <w:sz w:val="22"/>
        </w:rPr>
        <w:t>Courage To Lead</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Allison and Jones's willingness to commit $1B+ of personal capital and assume material drilling outspend during a low-natural-gas-price environment to develop the Western Haynesville is high-conviction infinite-game leadership [2]. Few public E&amp;P CEOs would underwrite this profile.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Comstock Resources is a unique infinite-game bet on US natural gas at the intersection of the AI data center buildout and the Gulf Coast LNG export corridor. The Western Haynesville play in East Texas — backed by Dallas Cowboys owner Jerry Jones's $1B+ personal investment (now ~71% ownership) — has been described as 'the holy grail of supply' for Big Tech's AI power needs given its proximity to the Dallas-Houston data center cluster and Gulf Coast LNG facilities [2]. CEO Jay Allison is the longest-tenured public E&amp;P CEO and has steered Comstock through multiple natural gas cycles with intellectual honesty and patient capital allocation [2]. Q4 2025 non-GAAP EPS of $0.16 beat consensus by 38.1%, and TTM revenue of $1.92B (up from $1.25B in 2024) demonstrates production growth [1]. The active exploration of a NextEra power-generation partnership opens a contracted-revenue path to AI data center load beyond spot gas pricing [2]. MiQ methane certification supports responsible-sourcing claims as buyers screen for emissions intensity [3].</w:t>
      </w:r>
    </w:p>
    <w:p>
      <w:pPr>
        <w:spacing w:after="120"/>
      </w:pPr>
      <w:r>
        <w:rPr>
          <w:rFonts w:ascii="Calibri" w:hAnsi="Calibri"/>
          <w:b w:val="0"/>
          <w:color w:val="3A4A28"/>
          <w:sz w:val="20"/>
        </w:rPr>
        <w:t>The bear case is grounded in commodity price exposure, leverage, and execution timing. Q4 2025 revenue missed analyst estimates by 21.9%, signaling that top-line momentum is heavily natural-gas-price dependent [1]. Total debt of ~$3.05B with Debt/EBITDA of 1.27x is manageable but levered FCF of -$335.56M TTM reflects the heavy outspend on Western Haynesville drilling — management has had to sell $445M of legacy Haynesville/Cotton Valley assets to fund the development [3][4]. ROE of 6.71% and net margin of 3.14% are modest [1]. Without a recovery in natural gas prices or a material direct-to-AI power deal, the buildout could compress equity returns. ESG pressures on natural gas access to capital remain a structural headwind despite the MiQ certification [3]. No dividend means investors are entirely dependent on production growth and multiple expansion. Concentrated ownership (Jones at ~71%) limits float and creates governance dynamics where minority shareholders ride alongside Jones's strategic preferences.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Western Haynesville production ramp and well-results disclosure validating Allison/Jones's 'last great play' thesis on reserves and breakeven economics [2]</w:t>
      </w:r>
    </w:p>
    <w:p>
      <w:pPr>
        <w:spacing w:before="40" w:after="40"/>
        <w:ind w:left="283"/>
      </w:pPr>
      <w:r>
        <w:rPr>
          <w:rFonts w:ascii="Calibri" w:hAnsi="Calibri"/>
          <w:b/>
          <w:color w:val="4A6B25"/>
          <w:sz w:val="20"/>
        </w:rPr>
        <w:t xml:space="preserve">2. </w:t>
      </w:r>
      <w:r>
        <w:rPr>
          <w:rFonts w:ascii="Calibri" w:hAnsi="Calibri"/>
          <w:b w:val="0"/>
          <w:color w:val="3A4A28"/>
          <w:sz w:val="20"/>
        </w:rPr>
        <w:t>Direct-to-data-center power offtake or NextEra partnership signing, converting commodity gas exposure into contracted recurring revenue [2]</w:t>
      </w:r>
    </w:p>
    <w:p>
      <w:pPr>
        <w:spacing w:before="40" w:after="40"/>
        <w:ind w:left="283"/>
      </w:pPr>
      <w:r>
        <w:rPr>
          <w:rFonts w:ascii="Calibri" w:hAnsi="Calibri"/>
          <w:b/>
          <w:color w:val="4A6B25"/>
          <w:sz w:val="20"/>
        </w:rPr>
        <w:t xml:space="preserve">3. </w:t>
      </w:r>
      <w:r>
        <w:rPr>
          <w:rFonts w:ascii="Calibri" w:hAnsi="Calibri"/>
          <w:b w:val="0"/>
          <w:color w:val="3A4A28"/>
          <w:sz w:val="20"/>
        </w:rPr>
        <w:t>Natural gas price recovery driven by LNG export expansion and AI data center load growth, leveraging Comstock's strategic Gulf Coast / Dallas-Houston position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Commodity price exposure — Q4 2025 revenue missed by 21.9% and the company has no dividend cushion; sustained low natural gas prices compress margins and FCF [1]</w:t>
      </w:r>
    </w:p>
    <w:p>
      <w:pPr>
        <w:spacing w:before="40" w:after="40"/>
        <w:ind w:left="283"/>
      </w:pPr>
      <w:r>
        <w:rPr>
          <w:rFonts w:ascii="Calibri" w:hAnsi="Calibri"/>
          <w:b/>
          <w:color w:val="4A6B25"/>
          <w:sz w:val="20"/>
        </w:rPr>
        <w:t xml:space="preserve">2. </w:t>
      </w:r>
      <w:r>
        <w:rPr>
          <w:rFonts w:ascii="Calibri" w:hAnsi="Calibri"/>
          <w:b w:val="0"/>
          <w:color w:val="3A4A28"/>
          <w:sz w:val="20"/>
        </w:rPr>
        <w:t>Leverage and outspend — $3.05B debt with -$335.56M levered FCF (TTM) requires asset sales (e.g., $445M legacy Haynesville sale) and capital markets access during the Western Haynesville buildout [3][4]</w:t>
      </w:r>
    </w:p>
    <w:p>
      <w:pPr>
        <w:spacing w:before="40" w:after="40"/>
        <w:ind w:left="283"/>
      </w:pPr>
      <w:r>
        <w:rPr>
          <w:rFonts w:ascii="Calibri" w:hAnsi="Calibri"/>
          <w:b/>
          <w:color w:val="4A6B25"/>
          <w:sz w:val="20"/>
        </w:rPr>
        <w:t xml:space="preserve">3. </w:t>
      </w:r>
      <w:r>
        <w:rPr>
          <w:rFonts w:ascii="Calibri" w:hAnsi="Calibri"/>
          <w:b w:val="0"/>
          <w:color w:val="3A4A28"/>
          <w:sz w:val="20"/>
        </w:rPr>
        <w:t>ESG access-to-capital risk — natural gas E&amp;P faces increasing scrutiny from lenders and equity investors despite MiQ certification, potentially limiting financing options [3]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16A34A"/>
          <w:sz w:val="16"/>
        </w:rPr>
        <w:t xml:space="preserve"> LOW RISK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(6/9): Natural gas E&amp;P is structurally insulated from AI disruption — the underlying commodity (methane molecules) is what AI data centers need, not what AI replaces. Comstock's Western Haynesville sits between Dallas and Houston, the densest US cluster of new AI data center development, with proximity to the Gulf Coast LNG export corridor [2]. Yahoo Finance characterized the asset as 'the holy grail of supply' for Big Tech's AI power needs [2]. AI Opportunity (1/1): Active exploration of a power-generation partnership with NextEra to directly serve AI data center load could create a higher-multiple, contracted revenue stream beyond the spot natural gas business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39</w:t>
      </w:r>
      <w:r>
        <w:rPr>
          <w:rFonts w:ascii="Calibri" w:hAnsi="Calibri"/>
          <w:b/>
          <w:color w:val="B8860B"/>
          <w:sz w:val="20"/>
        </w:rPr>
        <w:t xml:space="preserve">    ALIGNED</w:t>
      </w:r>
    </w:p>
    <w:p>
      <w:pPr>
        <w:spacing w:before="80" w:after="40"/>
      </w:pPr>
      <w:r>
        <w:rPr>
          <w:rFonts w:ascii="Calibri" w:hAnsi="Calibri"/>
          <w:b/>
          <w:color w:val="6E8450"/>
          <w:sz w:val="18"/>
        </w:rPr>
        <w:t xml:space="preserve">Positive: </w:t>
      </w:r>
      <w:r>
        <w:rPr>
          <w:rFonts w:ascii="Calibri" w:hAnsi="Calibri"/>
          <w:b/>
          <w:color w:val="16A34A"/>
          <w:sz w:val="17"/>
        </w:rPr>
        <w:t xml:space="preserve"> Business Ethics </w:t>
      </w:r>
      <w:r>
        <w:rPr>
          <w:rFonts w:ascii="Calibri" w:hAnsi="Calibri"/>
          <w:b w:val="0"/>
          <w:color w:val="9DAF88"/>
          <w:sz w:val="17"/>
        </w:rPr>
        <w:t xml:space="preserve">  ·  </w:t>
      </w:r>
      <w:r>
        <w:rPr>
          <w:rFonts w:ascii="Calibri" w:hAnsi="Calibri"/>
          <w:b/>
          <w:color w:val="16A34A"/>
          <w:sz w:val="17"/>
        </w:rPr>
        <w:t xml:space="preserve"> Business Resilience </w:t>
      </w:r>
      <w:r>
        <w:rPr>
          <w:rFonts w:ascii="Calibri" w:hAnsi="Calibri"/>
          <w:b w:val="0"/>
          <w:color w:val="9DAF88"/>
          <w:sz w:val="17"/>
        </w:rPr>
        <w:t xml:space="preserve">  ·  </w:t>
      </w:r>
      <w:r>
        <w:rPr>
          <w:rFonts w:ascii="Calibri" w:hAnsi="Calibri"/>
          <w:b/>
          <w:color w:val="16A34A"/>
          <w:sz w:val="17"/>
        </w:rPr>
        <w:t xml:space="preserve"> Employee Wellbeing </w:t>
      </w:r>
      <w:r>
        <w:rPr>
          <w:rFonts w:ascii="Calibri" w:hAnsi="Calibri"/>
          <w:b w:val="0"/>
          <w:color w:val="9DAF88"/>
          <w:sz w:val="17"/>
        </w:rPr>
        <w:t xml:space="preserve">  ·  </w:t>
      </w:r>
      <w:r>
        <w:rPr>
          <w:rFonts w:ascii="Calibri" w:hAnsi="Calibri"/>
          <w:b/>
          <w:color w:val="16A34A"/>
          <w:sz w:val="17"/>
        </w:rPr>
        <w:t xml:space="preserve"> Environmental Risk Mitigation </w:t>
      </w:r>
      <w:r>
        <w:rPr>
          <w:rFonts w:ascii="Calibri" w:hAnsi="Calibri"/>
          <w:b w:val="0"/>
          <w:color w:val="9DAF88"/>
          <w:sz w:val="17"/>
        </w:rPr>
        <w:t xml:space="preserve">  ·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GHG Emissions </w:t>
      </w:r>
      <w:r>
        <w:rPr>
          <w:rFonts w:ascii="Calibri" w:hAnsi="Calibri"/>
          <w:b w:val="0"/>
          <w:color w:val="9DAF88"/>
          <w:sz w:val="17"/>
        </w:rPr>
        <w:t xml:space="preserve">  ·  </w:t>
      </w:r>
      <w:r>
        <w:rPr>
          <w:rFonts w:ascii="Calibri" w:hAnsi="Calibri"/>
          <w:b/>
          <w:color w:val="16A34A"/>
          <w:sz w:val="17"/>
        </w:rPr>
        <w:t xml:space="preserve"> Human Rights </w:t>
      </w:r>
      <w:r>
        <w:rPr>
          <w:rFonts w:ascii="Calibri" w:hAnsi="Calibri"/>
          <w:b w:val="0"/>
          <w:color w:val="9DAF88"/>
          <w:sz w:val="17"/>
        </w:rPr>
        <w:t xml:space="preserve">  ·  </w:t>
      </w:r>
      <w:r>
        <w:rPr>
          <w:rFonts w:ascii="Calibri" w:hAnsi="Calibri"/>
          <w:b/>
          <w:color w:val="16A34A"/>
          <w:sz w:val="17"/>
        </w:rPr>
        <w:t xml:space="preserve"> Materials Efficiency </w:t>
      </w:r>
      <w:r>
        <w:rPr>
          <w:rFonts w:ascii="Calibri" w:hAnsi="Calibri"/>
          <w:b w:val="0"/>
          <w:color w:val="9DAF88"/>
          <w:sz w:val="17"/>
        </w:rPr>
        <w:t xml:space="preserve">  ·  </w:t>
      </w:r>
      <w:r>
        <w:rPr>
          <w:rFonts w:ascii="Calibri" w:hAnsi="Calibri"/>
          <w:b/>
          <w:color w:val="16A34A"/>
          <w:sz w:val="17"/>
        </w:rPr>
        <w:t xml:space="preserve"> Product Sustainability </w:t>
      </w:r>
      <w:r>
        <w:rPr>
          <w:rFonts w:ascii="Calibri" w:hAnsi="Calibri"/>
          <w:b w:val="0"/>
          <w:color w:val="9DAF88"/>
          <w:sz w:val="17"/>
        </w:rPr>
        <w:t xml:space="preserve">  ·  </w:t>
      </w:r>
      <w:r>
        <w:rPr>
          <w:rFonts w:ascii="Calibri" w:hAnsi="Calibri"/>
          <w:b/>
          <w:color w:val="16A34A"/>
          <w:sz w:val="17"/>
        </w:rPr>
        <w:t xml:space="preserve"> Waste and Hazmat Management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Comstock Resources Q4 and FY2025 earnings — Q4 revenue $361.8M (+5.9% YoY, missed by 21.9%), non-GAAP EPS $0.16 (+38.1% beat), ROE 6.71%, TTM revenue $1.92B, February 2026</w:t>
      </w:r>
    </w:p>
    <w:p>
      <w:pPr>
        <w:spacing w:before="20" w:after="20"/>
        <w:ind w:left="170"/>
      </w:pPr>
      <w:r>
        <w:rPr>
          <w:rFonts w:ascii="Calibri" w:hAnsi="Calibri"/>
          <w:b/>
          <w:color w:val="4A6B25"/>
          <w:sz w:val="15"/>
        </w:rPr>
        <w:t xml:space="preserve">2. </w:t>
      </w:r>
      <w:r>
        <w:rPr>
          <w:rFonts w:ascii="Calibri" w:hAnsi="Calibri"/>
          <w:b w:val="0"/>
          <w:color w:val="3A4A28"/>
          <w:sz w:val="17"/>
        </w:rPr>
        <w:t>D CEO Magazine / Yahoo Finance — 'The Last Great Play,' Jay Allison and Jerry Jones Western Haynesville bet, NextEra partnership exploration, $1B+ Jones investment, 71% ownership, 2025-2026</w:t>
      </w:r>
    </w:p>
    <w:p>
      <w:pPr>
        <w:spacing w:before="20" w:after="20"/>
        <w:ind w:left="170"/>
      </w:pPr>
      <w:r>
        <w:rPr>
          <w:rFonts w:ascii="Calibri" w:hAnsi="Calibri"/>
          <w:b/>
          <w:color w:val="4A6B25"/>
          <w:sz w:val="15"/>
        </w:rPr>
        <w:t xml:space="preserve">3. </w:t>
      </w:r>
      <w:r>
        <w:rPr>
          <w:rFonts w:ascii="Calibri" w:hAnsi="Calibri"/>
          <w:b w:val="0"/>
          <w:color w:val="3A4A28"/>
          <w:sz w:val="17"/>
        </w:rPr>
        <w:t>Seeking Alpha / Hart Energy / Comstock IR — MiQ methane certification, $445M Haynesville/Cotton Valley asset sales, ESG pressures, 2025-2026</w:t>
      </w:r>
    </w:p>
    <w:p>
      <w:pPr>
        <w:spacing w:before="20" w:after="20"/>
        <w:ind w:left="170"/>
      </w:pPr>
      <w:r>
        <w:rPr>
          <w:rFonts w:ascii="Calibri" w:hAnsi="Calibri"/>
          <w:b/>
          <w:color w:val="4A6B25"/>
          <w:sz w:val="15"/>
        </w:rPr>
        <w:t xml:space="preserve">4. </w:t>
      </w:r>
      <w:r>
        <w:rPr>
          <w:rFonts w:ascii="Calibri" w:hAnsi="Calibri"/>
          <w:b w:val="0"/>
          <w:color w:val="3A4A28"/>
          <w:sz w:val="17"/>
        </w:rPr>
        <w:t>Yahoo Finance / StockAnalysis.com / TradingEconomics — CRK price ~$17.80, market cap $5.75B, P/E 13.44, total debt $3.05B, D/E 95%, Debt/EBITDA 1.27x, levered FCF -$335M TTM, accessed April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