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CRMD</w:t>
      </w:r>
      <w:r>
        <w:rPr>
          <w:rFonts w:ascii="Calibri" w:hAnsi="Calibri"/>
          <w:b/>
          <w:color w:val="1A2010"/>
          <w:sz w:val="40"/>
        </w:rPr>
        <w:t xml:space="preserve">  CorMedix Inc.</w:t>
      </w:r>
    </w:p>
    <w:p>
      <w:pPr>
        <w:spacing w:after="120"/>
      </w:pPr>
      <w:r>
        <w:rPr>
          <w:rFonts w:ascii="Calibri" w:hAnsi="Calibri"/>
          <w:b/>
          <w:color w:val="6E8450"/>
          <w:sz w:val="18"/>
        </w:rPr>
        <w:t>GROWTH SLEEVE · 2026-04-12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CorMedix (recently branded CorMedix Therapeutics) is a diversified specialty pharmaceutical company whose lead asset, DefenCath, is the first FDA-approved catheter lock solution indicated to reduce catheter-related bloodstream infections in chronic hemodialysis patients. The August 2025 acquisition of Melinta Therapeutics added six marketed anti-infectives (plus TOPROL-XL), transforming CRMD from a single-product company to a diversified commercial operation. Market cap is approximately $579M.</w:t>
      </w:r>
    </w:p>
    <w:p>
      <w:r>
        <w:rPr>
          <w:rFonts w:ascii="Calibri" w:hAnsi="Calibri"/>
          <w:b/>
          <w:color w:val="6E8450"/>
          <w:sz w:val="18"/>
        </w:rPr>
        <w:t>150 Employees · https://cormedix.com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DefenCath secured FDA NDA approval November 2023, inpatient launch April 2024, outpatient TDAPA reimbursement July 2024, and the August 2025 Melinta acquisition (adding six anti-infectives and TOPROL-XL, $390M intangibles) transformed CRMD from a single-product company into a multi-product specialty pharma — a transformative pivot [1][2]. AI Deployment (0/2): No AI-powered products or quantified AI savings disclosed. Market Share (2/2): DefenCath is the ONLY FDA-approved catheter lock solution for its indication, creating category-defining market share in hemodialysis CRBSI prevention [1]. Pipeline (1/2): REZZAYO Phase 3 data expected Q2 2026, DefenCath post-TDAPA reimbursement transition July 2026, plus Melinta portfolio synergies of ~$35M annually provide pipeline visibility [1][3]. R&amp;D Intensity (1/1): Material R&amp;D spend supporting REZZAYO Phase 3 and DefenCath label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CorMedix articulates a specific mission to prevent cardiac, renal, and infectious diseases, validated by the first-in-class DefenCath approval targeting ~$500K/year healthcare costs from CRBSIs [1]. Community Impact (1/2): Vizient Innovative Technology Designation for DefenCath and partnerships with dialysis networks show modest community benefit via reduced patient infections. Employee Retention (1/2): Joseph Todisco's extended CEO contract and Chairman appointment plus operational continuity through the Melinta integration signal stability, but the January 2026 guidance cut and 28-35% stock crash tested the culture [3]. Insider Buying (0/2): No meaningful net insider buying disclosed; leadership focus has been on the Melinta integration rather than personal equity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score 9. Stock at ~$7.33 with $579M market cap and ample daily volume clears liquidity floor [3]. FY2025 net revenue $310M (pro forma $401M including Melinta) with net income of $163M and ROE of 23.2% — exceptional profitability [1][4]. Balance sheet is solid: $148M cash at year-end 2025, $150M 4.00% convertible notes due 2030, stockholders equity of $374M (Q3 2025) = D/E of ~40% [4]. Forward P/E of ~5-6x on 2026 guidance of $300-320M revenue and $100-125M adjusted EBITDA is very cheap for a profitable specialty pharma, with meaningful Forward PEG &lt;1.0. The 2026 guidance represents a modest decline from pro forma 2025 due to the July 2026 DefenCath TDAPA reimbursement transition, but the business remains highly profitable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CorMedix under Joseph Todisco has executed an infinite-game pivot — transforming from a single-product DefenCath story into a diversified specialty pharma via the $390M Melinta acquisition, with explicit multi-year synergy targets [2]. But the 2026 guidance cut and 28-35% stock crash show the company is still vulnerable to CMS reimbursement cycles and has not yet proven multi-decade consistency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 preventing cardiac, renal, and infectious diseases — is specific and connects to a real patient outcome (DefenCath targets CRBSIs that cost ~$500K per hospitalization) [1]. But the company's 12-year history and recent strategic pivot mean the cause has not yet been validated through multi-decade consistency that Sinek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Joseph Todisco's extended CEO contract and Chairman appointment signal leadership continuity, and the Melinta integration has retained key commercial talent [2]. Adequate trust and stability, though no standout retention indicators disclosed.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DefenCath is a first-in-class, category-of-one product so there is no direct competitor to learn from in the CRBSI-prevention space. The Melinta anti-infective portfolio competes in a crowded market, but no evidence of worthy-rival thinking in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August 2025 Melinta acquisition is a genuine transformative pivot — CorMedix moved from a single-product, development-stage company into a diversified multi-product specialty pharma, recording $390M intangibles and $17.5M goodwill [2]. Sinek would flag that this was an offensive move during strength rather than a defensive pivot, but the TDAPA reimbursement transition suggests the acquisition was partly a hedge.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Issuing $150M in convertible notes to fund the Melinta acquisition, extending Todisco's contract through the TDAPA transition, and disclosing the 2026 guidance cut rather than sugar-coating it show some courage [2][3]. But the stock's 28-35% one-day crash suggests communication could have been earlier — mixed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Bull case: CorMedix is a profitable, under-followed specialty pharma trading at ~6x forward earnings with a transformative multi-product platform. FY2025 pro forma revenue of $401M, net income of $163M, and ROE of 23.2% represent a durable financial foundation [1][4]. DefenCath is the only FDA-approved catheter lock solution for its indication with category-defining market share in preventing CRBSIs in chronic hemodialysis patients [1]. The August 2025 Melinta acquisition ($390M intangibles) diversified the portfolio to six anti-infectives plus TOPROL-XL, with ~$35M in annual operational synergies [2]. 2026 guidance of $300-320M revenue and $100-125M adjusted EBITDA implies strong free cash generation even through the TDAPA reimbursement transition. $148M cash balance plus $150M convertible notes provide M&amp;A firepower. REZZAYO Phase 3 data in Q2 2026 is a potential catalyst.</w:t>
      </w:r>
    </w:p>
    <w:p>
      <w:pPr>
        <w:spacing w:after="120"/>
      </w:pPr>
      <w:r>
        <w:rPr>
          <w:rFonts w:ascii="Calibri" w:hAnsi="Calibri"/>
          <w:b w:val="0"/>
          <w:color w:val="3A4A28"/>
          <w:sz w:val="20"/>
        </w:rPr>
        <w:t>Bear case: the DefenCath TDAPA reimbursement transition on July 1, 2026 to a post-TDAPA Add-On Adjustment will cut net pricing in Q3 and Q4 2026, driving the 2026 guidance reset that caused a 28-35% stock crash [3]. Beyond 2026, investors must model further potential step-downs in DefenCath economics. Melinta's anti-infective portfolio competes in crowded markets with established generics pressure. Customer concentration on large dialysis organizations (Fresenius, DaVita) creates bargaining leverage risk. The convertible note structure creates future dilution. Sustainalytics rates CRMD's ESG material risk management as Weak, though no specific controversy is active. The Vizient Innovative Technology Designation mitigates reimbursement risk somewhat but does not eliminate it [5]. Stock volatility has been severe (52-week range $5.60-$17.43).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REZZAYO Phase 3 data readout expected Q2 2026, potential label expansion or new indication catalyst [1][3]</w:t>
      </w:r>
    </w:p>
    <w:p>
      <w:pPr>
        <w:spacing w:before="40" w:after="40"/>
        <w:ind w:left="283"/>
      </w:pPr>
      <w:r>
        <w:rPr>
          <w:rFonts w:ascii="Calibri" w:hAnsi="Calibri"/>
          <w:b/>
          <w:color w:val="4A6B25"/>
          <w:sz w:val="20"/>
        </w:rPr>
        <w:t xml:space="preserve">2. </w:t>
      </w:r>
      <w:r>
        <w:rPr>
          <w:rFonts w:ascii="Calibri" w:hAnsi="Calibri"/>
          <w:b w:val="0"/>
          <w:color w:val="3A4A28"/>
          <w:sz w:val="20"/>
        </w:rPr>
        <w:t>Melinta synergies realization (~$35M operational) and full-year integration benefits flowing through 2026 financials [2]</w:t>
      </w:r>
    </w:p>
    <w:p>
      <w:pPr>
        <w:spacing w:before="40" w:after="40"/>
        <w:ind w:left="283"/>
      </w:pPr>
      <w:r>
        <w:rPr>
          <w:rFonts w:ascii="Calibri" w:hAnsi="Calibri"/>
          <w:b/>
          <w:color w:val="4A6B25"/>
          <w:sz w:val="20"/>
        </w:rPr>
        <w:t xml:space="preserve">3. </w:t>
      </w:r>
      <w:r>
        <w:rPr>
          <w:rFonts w:ascii="Calibri" w:hAnsi="Calibri"/>
          <w:b w:val="0"/>
          <w:color w:val="3A4A28"/>
          <w:sz w:val="20"/>
        </w:rPr>
        <w:t>Post-TDAPA Add-On Adjustment pricing clarity from CMS after July 1 2026 transition, potentially better than current conservative guidance assumes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DefenCath TDAPA reimbursement transition July 1 2026 — net price decline in 2H 2026 already causing 2026 guidance reset and 28-35% stock crash [3]</w:t>
      </w:r>
    </w:p>
    <w:p>
      <w:pPr>
        <w:spacing w:before="40" w:after="40"/>
        <w:ind w:left="283"/>
      </w:pPr>
      <w:r>
        <w:rPr>
          <w:rFonts w:ascii="Calibri" w:hAnsi="Calibri"/>
          <w:b/>
          <w:color w:val="4A6B25"/>
          <w:sz w:val="20"/>
        </w:rPr>
        <w:t xml:space="preserve">2. </w:t>
      </w:r>
      <w:r>
        <w:rPr>
          <w:rFonts w:ascii="Calibri" w:hAnsi="Calibri"/>
          <w:b w:val="0"/>
          <w:color w:val="3A4A28"/>
          <w:sz w:val="20"/>
        </w:rPr>
        <w:t>Large-dialysis customer concentration (Fresenius, DaVita) creates commercial bargaining risk for both volumes and pricing [1]</w:t>
      </w:r>
    </w:p>
    <w:p>
      <w:pPr>
        <w:spacing w:before="40" w:after="40"/>
        <w:ind w:left="283"/>
      </w:pPr>
      <w:r>
        <w:rPr>
          <w:rFonts w:ascii="Calibri" w:hAnsi="Calibri"/>
          <w:b/>
          <w:color w:val="4A6B25"/>
          <w:sz w:val="20"/>
        </w:rPr>
        <w:t xml:space="preserve">3. </w:t>
      </w:r>
      <w:r>
        <w:rPr>
          <w:rFonts w:ascii="Calibri" w:hAnsi="Calibri"/>
          <w:b w:val="0"/>
          <w:color w:val="3A4A28"/>
          <w:sz w:val="20"/>
        </w:rPr>
        <w:t>Convertible notes ($150M, 4.00%, due 2030) create future dilution risk and constrain capital allocation flexibility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CorMedix's core business — physical catheter lock solutions and FDA-approved anti-infective drugs — is structurally IMMUNE to AI disruption. DefenCath requires physical manufacturing, FDA-regulated clinical trials, and a physical sterile product delivered to hemodialysis catheters. AI cannot substitute for pharmaceuticals or sterile medical products. Melinta's anti-infective portfolio has similar protection. AI Opportunity (0/1): No AI revenue stream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CorMedix Q4 2025 Earnings Release — $127M Q4 revenue, FY2025 $310M (pro forma $401M), 2026 guidance $300-320M, March 2026</w:t>
      </w:r>
    </w:p>
    <w:p>
      <w:pPr>
        <w:spacing w:before="20" w:after="20"/>
        <w:ind w:left="170"/>
      </w:pPr>
      <w:r>
        <w:rPr>
          <w:rFonts w:ascii="Calibri" w:hAnsi="Calibri"/>
          <w:b/>
          <w:color w:val="4A6B25"/>
          <w:sz w:val="15"/>
        </w:rPr>
        <w:t xml:space="preserve">2. </w:t>
      </w:r>
      <w:r>
        <w:rPr>
          <w:rFonts w:ascii="Calibri" w:hAnsi="Calibri"/>
          <w:b w:val="0"/>
          <w:color w:val="3A4A28"/>
          <w:sz w:val="17"/>
        </w:rPr>
        <w:t>CorMedix Melinta acquisition — $390M intangibles, $17.5M goodwill, six anti-infectives plus TOPROL-XL, August 29 2025; Joseph Todisco Chairman appointment and extended CEO contract</w:t>
      </w:r>
    </w:p>
    <w:p>
      <w:pPr>
        <w:spacing w:before="20" w:after="20"/>
        <w:ind w:left="170"/>
      </w:pPr>
      <w:r>
        <w:rPr>
          <w:rFonts w:ascii="Calibri" w:hAnsi="Calibri"/>
          <w:b/>
          <w:color w:val="4A6B25"/>
          <w:sz w:val="15"/>
        </w:rPr>
        <w:t xml:space="preserve">3. </w:t>
      </w:r>
      <w:r>
        <w:rPr>
          <w:rFonts w:ascii="Calibri" w:hAnsi="Calibri"/>
          <w:b w:val="0"/>
          <w:color w:val="3A4A28"/>
          <w:sz w:val="17"/>
        </w:rPr>
        <w:t>Yahoo Finance / Seeking Alpha — CRMD 2026 guidance cut reaction (28-35% stock crash), DefenCath TDAPA post-reimbursement transition commentary, March-April 2026</w:t>
      </w:r>
    </w:p>
    <w:p>
      <w:pPr>
        <w:spacing w:before="20" w:after="20"/>
        <w:ind w:left="170"/>
      </w:pPr>
      <w:r>
        <w:rPr>
          <w:rFonts w:ascii="Calibri" w:hAnsi="Calibri"/>
          <w:b/>
          <w:color w:val="4A6B25"/>
          <w:sz w:val="15"/>
        </w:rPr>
        <w:t xml:space="preserve">4. </w:t>
      </w:r>
      <w:r>
        <w:rPr>
          <w:rFonts w:ascii="Calibri" w:hAnsi="Calibri"/>
          <w:b w:val="0"/>
          <w:color w:val="3A4A28"/>
          <w:sz w:val="17"/>
        </w:rPr>
        <w:t>CorMedix Q3 2025 10-Q — $104.3M Q3 revenue, $108.6M net income, $48.5M cash, $374.1M stockholders equity, $150M convertible notes, $98.3M contingent consideration</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 CorMedix ESG material risk management rated Weak; Vizient Innovative Technology Designation for DefenCath,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