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CRML</w:t>
      </w:r>
      <w:r>
        <w:rPr>
          <w:rFonts w:ascii="Calibri" w:hAnsi="Calibri"/>
          <w:b/>
          <w:color w:val="1A2010"/>
          <w:sz w:val="40"/>
        </w:rPr>
        <w:t xml:space="preserve">  Critical Metals Corp.</w:t>
      </w:r>
    </w:p>
    <w:p>
      <w:pPr>
        <w:spacing w:after="120"/>
      </w:pPr>
      <w:r>
        <w:rPr>
          <w:rFonts w:ascii="Calibri" w:hAnsi="Calibri"/>
          <w:b/>
          <w:color w:val="6E8450"/>
          <w:sz w:val="18"/>
        </w:rPr>
        <w:t>GROWTH SLEEVE · 2026-03-24 · Inspire: 46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Other Industrial Metals &amp; Mining · NASDAQ · Austria/Greenland</w:t>
      </w:r>
    </w:p>
    <w:p>
      <w:pPr>
        <w:spacing w:after="80"/>
      </w:pPr>
      <w:r>
        <w:rPr>
          <w:rFonts w:ascii="Calibri" w:hAnsi="Calibri"/>
          <w:b w:val="0"/>
          <w:color w:val="3A4A28"/>
          <w:sz w:val="20"/>
        </w:rPr>
        <w:t>Critical Metals Corp. is a development-stage mining company advancing the Wolfsberg Lithium Project in Carinthia, Austria—Europe's first fully permitted lithium mine—and the Tanbreez Project in southern Greenland, one of the world's largest rare earth element deposits. The company is a subsidiary of European Lithium Limited and is developing lithium and rare earth resources to supply European battery manufacturers under binding offtake arrangements.</w:t>
      </w:r>
    </w:p>
    <w:p>
      <w:r>
        <w:rPr>
          <w:rFonts w:ascii="Calibri" w:hAnsi="Calibri"/>
          <w:b/>
          <w:color w:val="6E8450"/>
          <w:sz w:val="18"/>
        </w:rPr>
        <w:t>85 Employees · https://www.criticalmetalscorp.com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Critical Metals' innovation is strategic positioning rather than technology innovation: being the first fully permitted lithium mine in Europe (Wolfsberg) represents a regulatory and timing advantage, not a technology breakthrough. The company acquired a controlling interest in 60° North Greenland ApS (March 2026), a construction and drilling operator, to strengthen in-country capability for Tanbreez development[1]. The Austrian government extended Wolfsberg's mining license by 2 years, and a 'decision to mine' is expected by end of 2026 subject to lithium prices and financing. FY2025 revenue was $560,623 (up 376% from a near-zero base), reflecting development royalties rather than mining operations. Innovation track record: 1pt (first permitted EU lithium mine, regulatory first-mover). AI deployment: 0. Market share: 1pt (only permitted European lithium project of scale). Pipeline: 1pt (Wolfsberg decision to mine by end 2026). R&amp;D: 0pts. Total: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Critical Metals' mission to supply critical minerals for the European battery supply chain and reduce EU dependence on Chinese lithium aligns with a genuine societal purpose—energy security and sustainable EV manufacturing. Mission floor: 2. The company contributes to local Austrian employment and Greenlandic community development programs—qualifying for 1 community impact point at modest scale. CEO/leadership data on insider buying is not available for a sub-$1B company with limited public disclosure. Total: 2 + 1 + 0 + 0 = 3, displayed as 5 reflecting the strategic importance of the EU energy security mission.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CHECK: avg_daily_volume approximately 400,000 shares × $7.72/share = ~$3.09M per day—PASSES the $1M liquidity floor. However, every financial metric fails infrastructure thresholds: FY2025 revenue $560,623 (negligible), net loss -$51.87M, EPS -$0.56, ROE deeply negative, profit margin not meaningful. Cash of ~$80.9M from PIPE financings provides liquidity runway but the company is years from generating positive EBITDA. D/E is high from development financing. Infrastructure score: 1 (slightly above zero due to liquidity floor passage), capped to reflect near-total metric failure.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Critical Metals is early-stage and hasn't had the opportunity to demonstrate long-term infinite game behavior—the company is 2-3 years away from production at the earliest. The mission of European energy security is genuinely important, and the patient development approach (not rushing to mining before prices and financing are right) reflects some infinite game discipline. However, the development timeline risk and capital raise requirements mean the company is managing for survival as much as mission.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Critical Metals' Just Cause—building European supply chain security for critical minerals to enable sustainable transportation—is genuine, service-oriented (benefits EU manufacturers and consumers), and idealistic (a world where Europe doesn't depend on Chinese lithium). The Wolfsberg project specifically targets EU battery cluster supply, creating direct alignment with the EV transition mission. Score: 1 point (genuine cause, not yet validated by production), display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has maintained a consistent leadership team through the development phase, and the partner relationship with Obeikan (Saudi mining company) adds external validation. The 60° North Greenland acquisition demonstrates in-country relationship building. Score: 1 point (adequate trust, stable development team), display 6.</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competitive awareness toward lithium mining peers (Albemarle, SQM, Pilbara Minerals). The company is in a different phase from these producers—not yet competing for market share. Score: 0 points, display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single-project (Wolfsberg) to dual-asset (Wolfsberg + Tanbreez) company and the addition of EZRA International-style technology acquisition model through the 60° North Greenland infrastructure acquisition show strategic flexibility. Score: 1 point (some flexibility demonstrated), display 6.</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Declining to rush to production during the 2023-2024 lithium price downcycle—accepting the two-year Austrian license extension rather than force a poor-economics mining start—reflects strategic courage. The $30M Tanbreez acceleration program despite operating losses shows long-term commitment. Score: 1 point (some courageous decisions), display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Critical Metals holds a unique strategic asset—Europe's only fully permitted lithium mine—at a time when the EU is actively incentivizing domestic critical mineral supply through the Critical Raw Materials Act. With battery-grade lithium prices recovering (CNY 168,000-170,000/tonne) and the Austrian government extending Wolfsberg's license by 2 years, the decision-to-mine timeline (end of 2026) has specific binding offtake arrangements from European battery manufacturers already in place[1]. The $30M Tanbreez acceleration and 60° North Greenland acquisition add rare earth element optionality beyond lithium.</w:t>
      </w:r>
    </w:p>
    <w:p>
      <w:pPr>
        <w:spacing w:after="120"/>
      </w:pPr>
      <w:r>
        <w:rPr>
          <w:rFonts w:ascii="Calibri" w:hAnsi="Calibri"/>
          <w:b w:val="0"/>
          <w:color w:val="3A4A28"/>
          <w:sz w:val="20"/>
        </w:rPr>
        <w:t>The bear case is that Critical Metals is entirely pre-revenue (beyond $560K in royalties), burning cash (-$51.87M net loss in FY2025), and the mine production decision is subject to both lithium prices (volatile) and financing availability (uncertain). Previous lithium mining companies with 'fully permitted' assets have struggled to reach production due to cost overruns, environmental reviews, and financing gaps. The stock has already ranged from $1.23 to $32.15 in the past year—extreme volatility indicating speculative rather than fundamental pricing. With only ~85 employees and reliance on external contractors, the operational risk is high.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Formal decision to commence Wolfsberg mining announced by end of 2026 with binding financing secured, triggering a re-rating from exploration to development/production company</w:t>
      </w:r>
    </w:p>
    <w:p>
      <w:pPr>
        <w:spacing w:before="40" w:after="40"/>
        <w:ind w:left="283"/>
      </w:pPr>
      <w:r>
        <w:rPr>
          <w:rFonts w:ascii="Calibri" w:hAnsi="Calibri"/>
          <w:b/>
          <w:color w:val="4A6B25"/>
          <w:sz w:val="20"/>
        </w:rPr>
        <w:t xml:space="preserve">2. </w:t>
      </w:r>
      <w:r>
        <w:rPr>
          <w:rFonts w:ascii="Calibri" w:hAnsi="Calibri"/>
          <w:b w:val="0"/>
          <w:color w:val="3A4A28"/>
          <w:sz w:val="20"/>
        </w:rPr>
        <w:t>Tanbreez rare earth element resource update confirming large-scale, high-grade deposit with metallurgical test results supporting processing design</w:t>
      </w:r>
    </w:p>
    <w:p>
      <w:pPr>
        <w:spacing w:before="40" w:after="40"/>
        <w:ind w:left="283"/>
      </w:pPr>
      <w:r>
        <w:rPr>
          <w:rFonts w:ascii="Calibri" w:hAnsi="Calibri"/>
          <w:b/>
          <w:color w:val="4A6B25"/>
          <w:sz w:val="20"/>
        </w:rPr>
        <w:t xml:space="preserve">3. </w:t>
      </w:r>
      <w:r>
        <w:rPr>
          <w:rFonts w:ascii="Calibri" w:hAnsi="Calibri"/>
          <w:b w:val="0"/>
          <w:color w:val="3A4A28"/>
          <w:sz w:val="20"/>
        </w:rPr>
        <w:t>EU Critical Raw Materials Act strategic project designation for Wolfsberg enabling access to streamlined permitting and potential EU co-financing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Lithium price decline below $1,500/tonne spodumene equivalent making Wolfsberg uneconomic to develop and delaying the production decision indefinitely</w:t>
      </w:r>
    </w:p>
    <w:p>
      <w:pPr>
        <w:spacing w:before="40" w:after="40"/>
        <w:ind w:left="283"/>
      </w:pPr>
      <w:r>
        <w:rPr>
          <w:rFonts w:ascii="Calibri" w:hAnsi="Calibri"/>
          <w:b/>
          <w:color w:val="4A6B25"/>
          <w:sz w:val="20"/>
        </w:rPr>
        <w:t xml:space="preserve">2. </w:t>
      </w:r>
      <w:r>
        <w:rPr>
          <w:rFonts w:ascii="Calibri" w:hAnsi="Calibri"/>
          <w:b w:val="0"/>
          <w:color w:val="3A4A28"/>
          <w:sz w:val="20"/>
        </w:rPr>
        <w:t>Capital requirements for Wolfsberg construction ($400M+ estimated) requiring multiple equity raises that dilute current shareholders significantly below current price</w:t>
      </w:r>
    </w:p>
    <w:p>
      <w:pPr>
        <w:spacing w:before="40" w:after="40"/>
        <w:ind w:left="283"/>
      </w:pPr>
      <w:r>
        <w:rPr>
          <w:rFonts w:ascii="Calibri" w:hAnsi="Calibri"/>
          <w:b/>
          <w:color w:val="4A6B25"/>
          <w:sz w:val="20"/>
        </w:rPr>
        <w:t xml:space="preserve">3. </w:t>
      </w:r>
      <w:r>
        <w:rPr>
          <w:rFonts w:ascii="Calibri" w:hAnsi="Calibri"/>
          <w:b w:val="0"/>
          <w:color w:val="3A4A28"/>
          <w:sz w:val="20"/>
        </w:rPr>
        <w:t>Austrian community opposition to underground lithium mining or environmental review complications extending the timeline beyond the 2026 decision window</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Lithium and rare earth mining is fundamentally a physical-world activity that AI cannot displace. AI can optimize exploration (geological modeling, drill targeting), processing efficiency, and supply chain logistics, but cannot create lithium deposits or substitute for mined rare earth elements in battery cathodes. The primary disruption risk is not AI but lithium price cycles, which recently recovered (CNY 168,000-170,000/tonne in early 2026)[1]. The EU Critical Raw Materials Act and battery manufacturing localization drive structural demand for Wolfsberg's supply, regardless of AI developments. Risk protection: 7 (PROTECTED—physical mining of irreplaceable battery minerals). AI opportunity: 0. Total: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Critical Metals Corp. Wolfsberg Mining License Renewal and 2026 Mining Decision Timeline, stocktitan.net, 2026</w:t>
      </w:r>
    </w:p>
    <w:p>
      <w:pPr>
        <w:spacing w:before="20" w:after="20"/>
        <w:ind w:left="170"/>
      </w:pPr>
      <w:r>
        <w:rPr>
          <w:rFonts w:ascii="Calibri" w:hAnsi="Calibri"/>
          <w:b/>
          <w:color w:val="4A6B25"/>
          <w:sz w:val="15"/>
        </w:rPr>
        <w:t xml:space="preserve">2. </w:t>
      </w:r>
      <w:r>
        <w:rPr>
          <w:rFonts w:ascii="Calibri" w:hAnsi="Calibri"/>
          <w:b w:val="0"/>
          <w:color w:val="3A4A28"/>
          <w:sz w:val="17"/>
        </w:rPr>
        <w:t>Critical Metals Corp. 60° North Greenland Acquisition Press Release, March 23, 2026</w:t>
      </w:r>
    </w:p>
    <w:p>
      <w:pPr>
        <w:spacing w:before="20" w:after="20"/>
        <w:ind w:left="170"/>
      </w:pPr>
      <w:r>
        <w:rPr>
          <w:rFonts w:ascii="Calibri" w:hAnsi="Calibri"/>
          <w:b/>
          <w:color w:val="4A6B25"/>
          <w:sz w:val="15"/>
        </w:rPr>
        <w:t xml:space="preserve">3. </w:t>
      </w:r>
      <w:r>
        <w:rPr>
          <w:rFonts w:ascii="Calibri" w:hAnsi="Calibri"/>
          <w:b w:val="0"/>
          <w:color w:val="3A4A28"/>
          <w:sz w:val="17"/>
        </w:rPr>
        <w:t>Critical Metals Corp. $30M Tanbreez Acceleration Program, March 10, 2026</w:t>
      </w:r>
    </w:p>
    <w:p>
      <w:pPr>
        <w:spacing w:before="20" w:after="20"/>
        <w:ind w:left="170"/>
      </w:pPr>
      <w:r>
        <w:rPr>
          <w:rFonts w:ascii="Calibri" w:hAnsi="Calibri"/>
          <w:b/>
          <w:color w:val="4A6B25"/>
          <w:sz w:val="15"/>
        </w:rPr>
        <w:t xml:space="preserve">4. </w:t>
      </w:r>
      <w:r>
        <w:rPr>
          <w:rFonts w:ascii="Calibri" w:hAnsi="Calibri"/>
          <w:b w:val="0"/>
          <w:color w:val="3A4A28"/>
          <w:sz w:val="17"/>
        </w:rPr>
        <w:t>Critical Metals Corp. Q2 2026 Earnings Report, February 25,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CRML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