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CRNX</w:t>
      </w:r>
      <w:r>
        <w:rPr>
          <w:rFonts w:ascii="Calibri" w:hAnsi="Calibri"/>
          <w:b/>
          <w:color w:val="1A2010"/>
          <w:sz w:val="40"/>
        </w:rPr>
        <w:t xml:space="preserve">  Crinetics Pharmaceuticals, Inc.</w:t>
      </w:r>
    </w:p>
    <w:p>
      <w:pPr>
        <w:spacing w:after="120"/>
      </w:pPr>
      <w:r>
        <w:rPr>
          <w:rFonts w:ascii="Calibri" w:hAnsi="Calibri"/>
          <w:b/>
          <w:color w:val="6E8450"/>
          <w:sz w:val="18"/>
        </w:rPr>
        <w:t>GROWTH SLEEVE · 2026-05-01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Crinetics Pharmaceuticals is a pharmaceutical company focused on the discovery, development, and commercialization of novel therapeutics for rare endocrine diseases and endocrine-related tumors. Its lead product PALSONIFY (paltusotine) is the first oral somatostatin receptor agonist approved for acromegaly.</w:t>
      </w:r>
    </w:p>
    <w:p>
      <w:r>
        <w:rPr>
          <w:rFonts w:ascii="Calibri" w:hAnsi="Calibri"/>
          <w:b/>
          <w:color w:val="6E8450"/>
          <w:sz w:val="18"/>
        </w:rPr>
        <w:t>594 Employees · https://www.crinetics.com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Crinetics achieved FDA approval of PALSONIFY (paltusotine) for acromegaly in 2025, the first oral nonpeptide somatostatin receptor type 2 agonist — a significant product launch replacing injectable therapies for patients with this rare disease. EU approval followed, expanding the commercial footprint globally [1][2]. AI Deployment (0/2): No evidence of AI-powered products or quantified AI-driven R&amp;D savings; the company relies on traditional drug discovery and clinical trial methodologies. Market Share Leadership (2/2): PALSONIFY is first-in-class as an oral SST2 agonist for acromegaly, creating a new category in a market previously dominated by injectable therapies from Ipsen and Novartis; $5.4M in Q4 2025 net revenue demonstrates early commercial traction [1]. Product Pipeline (2/2): Deep pipeline with specific timelines — Phase 2/3 study of atumelnant for congenital adrenal hyperplasia and Cushing's disease planned for 2026, CRN09682 (nonpeptide drug conjugate for SST2+ solid tumors), PTH receptor antagonists for hyperparathyroidism, and oral GLP-1/GIP programs for obesity [1][2]. R&amp;D Intensity (1/1): R&amp;D spending dominates the P&amp;L at a clinical-stage biotech, with operating expenses of $600-650M guided for 2026, well above industry average as a percentage of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Crinetics' mission centers on developing novel therapeutics for rare endocrine diseases — a clear purpose that identifies underserved patients but lacks the broader transformative vision that would distinguish it from other rare disease biotechs. Community Impact (1/2): The company's focus on rare diseases inherently serves underserved patient populations, and the launch of the first oral acromegaly treatment represents meaningful quality-of-life improvement for patients previously dependent on lifelong injections [1]. Employee Retention (1/2): Glassdoor reviews are mixed — employees praise approachable leadership and collaborative culture, but some cite competitive internal dynamics and backstabbing in certain departments; founder-CEO Scott Struthers' 17-year tenure provides leadership continuity [3]. Insider Buying (0/2): Significant net insider selling in early 2026 — CEO Struthers sold $822K in March, COO Knight sold $3.4M in April, and CFO Schilke sold $266K, with no notable insider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Crinetics has a fortress-like balance sheet for a clinical-stage biotech with $1.03B in cash against only $48.5M in debt (D/E 4.9%), providing runway into 2030 based on management guidance [1][2]. Revenue is ramping from near-zero to $7.7M in 2025 from PALSONIFY's commercial launch, but the company is deeply unprofitable with a $465M net loss in 2025 and ROE of -40.2%. The massive revenue growth rate (641% YoY) and strong 5-year CAGR reflect the transition from R&amp;D-stage to commercial entity, but profit margins remain at 0% with $600-650M in guided 2026 operating expenses [1]. Liquidity is ample at $43M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Crinetics demonstrates genuine purpose in serving rare disease patients with innovative oral therapies, backed by founder-CEO Scott Struthers' 17-year commitment. However, the company is still early in proving its long-term vision beyond acromegaly, and the competitive biotech landscape often rewards finite-game behavior around patent cliffs and market share battles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Crinetics' focus on transforming care for rare endocrine disease patients — replacing lifelong injectable therapies with oral alternatives — represents a genuine cause that connects the company's work to meaningful patient impact. PALSONIFY's approval validates years of commitment. However, the cause hasn't been tested through decades of consistency or major crises yet, given the company's relatively short commercial history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evidence — Glassdoor reviews praise approachable leadership and collaborative culture, with some calling it 'Best. Job. Ever.' Others cite competitive dynamics and backstabbing between departments. With 594 employees, the company is small enough for leadership to maintain direct relationships, but rapid growth during commercialization may strain culture. Founder-CEO's 17-year tenure provides stability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Crinetics positions itself competitively against injectable therapy incumbents (Ipsen's Somatuline, Novartis' Sandostatin) using language centered on 'replacing' and 'converting' patients from competitor products. The competitive framing is primarily about taking share rather than learning from rivals' strengths, reflecting a finite competitive mindset typical of pharma commercial launches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Crinetics has shown meaningful flexibility by expanding from its initial SST2 agonist focus into multiple endocrine pathways — ACTH receptor antagonists, PTH receptor antagonists, and even oral GLP-1/GIP programs for obesity, a dramatically different market. The expansion into obesity represents a significant strategic broadening, though it's additive rather than a transformative pivot that abandoned a core business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Scott Struthers invested 17 years building the company from founding through FDA approval, maintaining focus on the challenging rare endocrine space when other biotechs pivoted to more fashionable therapeutic areas. The decision to pursue oral nonpeptide chemistry when the industry consensus favored peptide approaches required scientific conviction. However, the heavy insider selling in 2026 somewhat undermines the narrative of leadership sacrifice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Crinetics represents a compelling rare disease platform story with PALSONIFY, the first oral somatostatin receptor agonist for acromegaly, generating $5.4M in Q4 2025 revenue after launch. The company's $1.03B cash position provides runway into 2030, and a deep pipeline spanning atumelnant (congenital adrenal hyperplasia/Cushing's), PTH antagonists (hyperparathyroidism), and oral GLP-1/GIP programs (obesity) offers multiple shots on goal across large addressable markets [1][2].</w:t>
      </w:r>
    </w:p>
    <w:p>
      <w:pPr>
        <w:spacing w:after="120"/>
      </w:pPr>
      <w:r>
        <w:rPr>
          <w:rFonts w:ascii="Calibri" w:hAnsi="Calibri"/>
          <w:b w:val="0"/>
          <w:color w:val="3A4A28"/>
          <w:sz w:val="20"/>
        </w:rPr>
        <w:t>The bear case centers on the substantial cash burn — $465M net loss in 2025 with guided operating expenses of $600-650M in 2026 against only $7.7M in annual revenue. PALSONIFY's commercial ramp must accelerate significantly to justify the $4.1B market cap, and pipeline programs carry substantial clinical risk. The obesity program, while potentially transformative, enters a crowded market dominated by Eli Lilly and Novo Nordisk. Significant insider selling by multiple executives including the CEO in early 2026 raises questions about near-term confidence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PALSONIFY commercial ramp in acromegaly and potential label expansion to carcinoid syndrome associated with neuroendocrine tumors could drive meaningful revenue acceleration through 2026-2027 [1]</w:t>
      </w:r>
    </w:p>
    <w:p>
      <w:pPr>
        <w:spacing w:before="40" w:after="40"/>
        <w:ind w:left="283"/>
      </w:pPr>
      <w:r>
        <w:rPr>
          <w:rFonts w:ascii="Calibri" w:hAnsi="Calibri"/>
          <w:b/>
          <w:color w:val="4A6B25"/>
          <w:sz w:val="20"/>
        </w:rPr>
        <w:t xml:space="preserve">2. </w:t>
      </w:r>
      <w:r>
        <w:rPr>
          <w:rFonts w:ascii="Calibri" w:hAnsi="Calibri"/>
          <w:b w:val="0"/>
          <w:color w:val="3A4A28"/>
          <w:sz w:val="20"/>
        </w:rPr>
        <w:t>Phase 2/3 initiation of atumelnant for congenital adrenal hyperplasia in 2026 addresses a large unmet need with no approved oral therapies [1]</w:t>
      </w:r>
    </w:p>
    <w:p>
      <w:pPr>
        <w:spacing w:before="40" w:after="40"/>
        <w:ind w:left="283"/>
      </w:pPr>
      <w:r>
        <w:rPr>
          <w:rFonts w:ascii="Calibri" w:hAnsi="Calibri"/>
          <w:b/>
          <w:color w:val="4A6B25"/>
          <w:sz w:val="20"/>
        </w:rPr>
        <w:t xml:space="preserve">3. </w:t>
      </w:r>
      <w:r>
        <w:rPr>
          <w:rFonts w:ascii="Calibri" w:hAnsi="Calibri"/>
          <w:b w:val="0"/>
          <w:color w:val="3A4A28"/>
          <w:sz w:val="20"/>
        </w:rPr>
        <w:t>Oral GLP-1/GIP programs for obesity, if successful, could dramatically expand the company's addressable market beyond rare endocrine diseases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cash burn of ~$465M annually against $7.7M in revenue creates dependence on the $1B cash reserve; any clinical trial setback could accelerate the need for dilutive capital raises [1]</w:t>
      </w:r>
    </w:p>
    <w:p>
      <w:pPr>
        <w:spacing w:before="40" w:after="40"/>
        <w:ind w:left="283"/>
      </w:pPr>
      <w:r>
        <w:rPr>
          <w:rFonts w:ascii="Calibri" w:hAnsi="Calibri"/>
          <w:b/>
          <w:color w:val="4A6B25"/>
          <w:sz w:val="20"/>
        </w:rPr>
        <w:t xml:space="preserve">2. </w:t>
      </w:r>
      <w:r>
        <w:rPr>
          <w:rFonts w:ascii="Calibri" w:hAnsi="Calibri"/>
          <w:b w:val="0"/>
          <w:color w:val="3A4A28"/>
          <w:sz w:val="20"/>
        </w:rPr>
        <w:t>PALSONIFY faces execution risk in commercial ramp — converting patients from established injectable therapies requires extensive physician education and payer negotiations in a rare disease market [1]</w:t>
      </w:r>
    </w:p>
    <w:p>
      <w:pPr>
        <w:spacing w:before="40" w:after="40"/>
        <w:ind w:left="283"/>
      </w:pPr>
      <w:r>
        <w:rPr>
          <w:rFonts w:ascii="Calibri" w:hAnsi="Calibri"/>
          <w:b/>
          <w:color w:val="4A6B25"/>
          <w:sz w:val="20"/>
        </w:rPr>
        <w:t xml:space="preserve">3. </w:t>
      </w:r>
      <w:r>
        <w:rPr>
          <w:rFonts w:ascii="Calibri" w:hAnsi="Calibri"/>
          <w:b w:val="0"/>
          <w:color w:val="3A4A28"/>
          <w:sz w:val="20"/>
        </w:rPr>
        <w:t>Pipeline concentration risk in endocrine biology; clinical failure of atumelnant or PTH antagonist programs would significantly narrow the platform value proposition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Pharmaceutical development for rare endocrine diseases is highly protected from AI disruption — the core value chain involves complex clinical trials, FDA regulatory processes, physical drug manufacturing, and physician-patient relationships that AI cannot substitute [2]. The proprietary nonpeptide chemistry platform represents deep scientific IP that AI drug discovery tools cannot easily replicate. However, AI could eventually accelerate competitor drug discovery timelines, modestly compressing Crinetics' first-mover advantage in certain indications. AI Opportunity (1/1): While Crinetics does not generate AI revenue directly, AI tools are increasingly being adopted across the pharma industry for clinical trial optimization, drug target identification, and manufacturing — Crinetics' pipeline expansion into multiple indications could benefit from AI-accelerated discovery processes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Crinetics Pharmaceuticals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Crinetics corporate website — pipeline and company overview,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for Crinetics Pharmaceuticals,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SEC insider transaction filings for Crinetics Pharmaceuticals Inc., March-April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