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CRSP</w:t>
      </w:r>
      <w:r>
        <w:rPr>
          <w:rFonts w:ascii="Calibri" w:hAnsi="Calibri"/>
          <w:b/>
          <w:color w:val="1A2010"/>
          <w:sz w:val="40"/>
        </w:rPr>
        <w:t xml:space="preserve">  CRISPR Therapeutics AG</w:t>
      </w:r>
    </w:p>
    <w:p>
      <w:pPr>
        <w:spacing w:after="120"/>
      </w:pPr>
      <w:r>
        <w:rPr>
          <w:rFonts w:ascii="Calibri" w:hAnsi="Calibri"/>
          <w:b/>
          <w:color w:val="6E8450"/>
          <w:sz w:val="18"/>
        </w:rPr>
        <w:t>GROWTH SLEEVE · 2026-04-20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Switzerland</w:t>
      </w:r>
    </w:p>
    <w:p>
      <w:pPr>
        <w:spacing w:after="80"/>
      </w:pPr>
      <w:r>
        <w:rPr>
          <w:rFonts w:ascii="Calibri" w:hAnsi="Calibri"/>
          <w:b w:val="0"/>
          <w:color w:val="3A4A28"/>
          <w:sz w:val="20"/>
        </w:rPr>
        <w:t>CRISPR Therapeutics is a gene editing company developing transformative gene-based medicines using its CRISPR/Cas9 platform. The company's lead product CASGEVY, developed in partnership with Vertex Pharmaceuticals, is the world's first approved CRISPR gene therapy, treating sickle cell disease and transfusion-dependent beta-thalassemia. The pipeline spans hemoglobinopathies, oncology (allogeneic CAR-T), cardiovascular disease (in-vivo gene editing), autoimmune disorders, and type 1 diabetes. Founded in 2013 by Nobel laureate Emmanuelle Charpentier, the company is headquartered in Zug, Switzerland.</w:t>
      </w:r>
    </w:p>
    <w:p>
      <w:r>
        <w:rPr>
          <w:rFonts w:ascii="Calibri" w:hAnsi="Calibri"/>
          <w:b/>
          <w:color w:val="6E8450"/>
          <w:sz w:val="18"/>
        </w:rPr>
        <w:t>https://www.crisprtx.com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CRISPR Therapeutics achieved a genuinely transformative milestone with CASGEVY — the world's first approved CRISPR gene therapy, cleared by the FDA in December 2023 for sickle cell disease and beta-thalassemia [1]. This represents a new class of medicine that did not previously exist, opening a therapeutic modality that could eventually address thousands of genetic diseases. The company also advanced from pure research to commercial-stage operations within a decade of founding. AI Deployment (0/2): No evidence of AI-powered products or quantified AI-driven cost savings. CRISPR Therapeutics' competitive advantage is its gene editing platform, not AI capabilities. Market Share (2/2): CASGEVY is the only approved CRISPR-based gene therapy in the world — a literal category creator with 100% market share in CRISPR therapeutics [1]. The company expects $100M in CASGEVY revenue in 2025 with significant growth expected in 2026. Pipeline (2/2): Deep, diversified pipeline with specific clinical programs: CTX112 (CD19 allogeneic CAR-T for autoimmune/oncology), CTX131 (CD70 CAR-T), CTX310/CTX320 (in-vivo cardiovascular gene editing targeting ANGPTL3 and lipoprotein(a)), and CTX211 (hypoimmune stem cell-derived therapy for T1D) [1]. R&amp;D Intensity (1/1): CRISPR Therapeutics invests overwhelmingly in R&amp;D relative to revenue — the company spent over $580M while generating only $3.5M in revenue, placing it in the top tier of R&amp;D intensity globally.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CRISPR Therapeutics' mission — developing gene-based medicines to cure serious human diseases — is specific, thoughtful, and connects the company's work to alleviating genuine human suffering from genetic conditions like sickle cell disease and beta-thalassemia [3]. Founded by Nobel laureate Emmanuelle Charpentier, the company's purpose is scientifically grounded and deeply intentional. The mission differentiates from generic pharma purpose statements through its focus on curative rather than palliative treatments. Community Impact (1/2): The company is 'dedicated to listening to patient communities to understand serious diseases and meaningfully incorporating patient voices into drug development' with programs aimed at supporting patient well-being [3]. However, specific charitable programs with dollar amounts or measurable community impact were not found. Employee Retention (0/2): Glassdoor reviews paint a concerning picture — overall rating of 3.5/5, senior management rating of 2.6/5, and CEO approval of 42% [2]. Reviews cite 'a culture of toxicity, finger-pointing, and a distinct lack of leadership at top levels,' with work-life balance rated 3.1/5 and reports of emails and urgent tasks arriving after midnight. Insider Buying (1/2): CEO Samarth Kulkarni has served since 2017 with $33M in total annual compensation (97.8% stock-based), demonstrating significant equity alignment with shareholder outcomes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CRISPR Therapeutics' financial infrastructure reflects a pre-profitability biotech in the early stages of commercial revenue generation. D/E of 10.8% is excellent, reflecting minimal debt against a $2.0B cash position that provides a multi-year runway [4]. However, all other financial metrics score at floor levels: ROE of -30.2% reflects ongoing substantial losses; revenue growth of -97.6% YoY is misleading (driven by the timing of collaboration milestones, not commercial decline); CASGEVY revenue is expected to reach $100M in 2025 with significant growth in 2026 [1]. Forward P/E of -13.8x confirms expected continued losses. Profit margin is 0% with net losses of -$582M against $3.5M in trailing revenue. The company's $2.0B cash position provides approximately 3+ years of runway at current burn rates, but the financial profile is fundamentally pre-commercial. Liquidity is strong at $109.9M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CRISPR Therapeutics demonstrates strong infinite game thinking through its commitment to curing genetic diseases — a cause that transcends any single product or quarter. The successful CASGEVY approval and expansion into oncology, cardiovascular, and diabetes programs show genuine Just Cause alignment. However, Glassdoor evidence of cultural toxicity and low management trust undermines the organizational foundation that Sinek considers essential for infinite game players. The company has the cause but may lack the internal trust culture to sustain it through decades of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CRISPR Therapeutics' Just Cause — curing serious genetic diseases through gene editing — is among the most compelling in the biotech sector (2/3 pts). The company was founded by Nobel laureate Emmanuelle Charpentier specifically to translate CRISPR/Cas9 from a scientific discovery into human therapeutics, and CASGEVY's approval for sickle cell disease represents tangible progress toward that cause [1]. The expansion into cardiovascular disease, cancer, autoimmune disorders, and T1D demonstrates that the cause extends beyond any single disease. However, the company is only 13 years old and has not yet navigated the leadership transitions, market crises, or competitive pressures that would validate the cause as a multi-decade competitive advantage.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evidence reveals a concerning trust environment — senior management rated 2.6/5, CEO approval at 42%, and employee reviews describing 'a culture of toxicity, finger-pointing, and a distinct lack of leadership at top levels of the organization' (0/2 pts) [2]. Work-life balance rated 3.1/5 with reports of midnight emails and weekend urgent tasks suggests a fear-based rather than trust-based culture. The executive team 'consistently fails to provide clear direction or support to their teams' per employee feedback. This directly undermines the psychological safety that Sinek identifies as the foundation of infinite game organizations.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CRISPR Therapeutics operates in a competitive landscape alongside Intellia Therapeutics (in-vivo CRISPR editing), Editas Medicine (rival CRISPR platform), and Beam Therapeutics (base editing), whose technical approaches push the boundaries of gene editing and motivate continuous platform improvement (1/1 pt). The company's expansion into in-vivo gene editing (CTX310/CTX320) appears partly motivated by Intellia's pioneering in-vivo work, suggesting a willingness to learn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CRISPR Therapeutics has demonstrated remarkable strategic flexibility for a 13-year-old company — evolving from a research-stage gene editing company to a commercial therapeutic manufacturer, and expanding from its initial hemoglobinopathy focus into four entirely new therapeutic areas: oncology (allogeneic CAR-T), cardiovascular disease (in-vivo editing), autoimmune disorders, and type 1 diabetes (2/2 pts) [1]. Each expansion represents entry into a new multi-billion-dollar market with distinct patient populations. The shift from ex-vivo editing (CASGEVY) to in-vivo editing (CTX310/CTX320) represents a fundamental technological pivot that could eventually reach orders of magnitude more patients.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CRISPR Therapeutics demonstrated courage in pushing CASGEVY through the regulatory process as the first-ever CRISPR gene therapy — accepting the regulatory risk and scientific uncertainty of pioneering an entirely new therapeutic modality (1/2 pts) [1]. CEO Kulkarni's decision to expand into cardiovascular in-vivo gene editing and T1D stem cell therapy represents substantial long-term bets that will require years of investment before generating revenue. However, the cultural concerns raised by employees suggest leadership may prioritize operational speed over team sustainability — a finite game trade-off that Sinek would critique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CRISPR Therapeutics is the pioneer of CRISPR gene therapy with CASGEVY — the world's first approved CRISPR treatment — and a deep pipeline spanning five therapeutic areas. CASGEVY revenue is expected to reach $100M in 2025 with significant growth anticipated in 2026 as treatment centers expand globally [1]. The $2.0B cash position provides 3+ years of runway at current burn rates, eliminating near-term dilution risk. The pipeline represents massive optionality: CTX112/CTX131 (allogeneic CAR-T for oncology/autoimmune), CTX310/CTX320 (in-vivo cardiovascular gene editing), and CTX211 (T1D) each address multi-billion-dollar markets. At a $5.6B market cap with $2.0B in cash ($37.99 net cash-adjusted price), the market is valuing the entire pipeline at ~$3.6B — potentially a fraction of the total addressable market if even one additional program succeeds. The stock gained 19% in the past month on pipeline optimism [1].</w:t>
      </w:r>
    </w:p>
    <w:p>
      <w:pPr>
        <w:spacing w:after="120"/>
      </w:pPr>
      <w:r>
        <w:rPr>
          <w:rFonts w:ascii="Calibri" w:hAnsi="Calibri"/>
          <w:b w:val="0"/>
          <w:color w:val="3A4A28"/>
          <w:sz w:val="20"/>
        </w:rPr>
        <w:t>The bear case centers on clinical and execution risk. CRSP lost $582M in the trailing period with ROE of -30.2% and profit margin of 0% — the company is years from profitability even with CASGEVY ramping [4]. Revenue declined 97.6% YoY due to collaboration milestone timing, and Q4 EPS of -$1.37 missed estimates by 14% [1]. CASGEVY's commercial trajectory faces headwinds: the treatment requires complex manufacturing, costs approximately $2.2M per patient, and addresses a limited initial patient population (sickle cell and beta-thal). The Glassdoor evidence of cultural toxicity (2.6/5 senior management, 42% CEO approval) raises concerns about organizational resilience during the multi-year commercial ramp [2]. Pipeline programs are pre-clinical or early-stage with binary success/failure risk. Competition from Intellia (in-vivo CRISPR), Beam (base editing), and large pharma gene therapy programs could erode CRISPR Therapeutics' first-mover advantage. The stock's 1.79 beta amplifies downside volatility in risk-off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CASGEVY revenue ramp — scaling from $100M in 2025 to projected $200M+ in 2026 as additional treatment centers come online globally and the sickle cell/beta-thalassemia patient pipeline converts to treated patients [1]</w:t>
      </w:r>
    </w:p>
    <w:p>
      <w:pPr>
        <w:spacing w:before="40" w:after="40"/>
        <w:ind w:left="283"/>
      </w:pPr>
      <w:r>
        <w:rPr>
          <w:rFonts w:ascii="Calibri" w:hAnsi="Calibri"/>
          <w:b/>
          <w:color w:val="4A6B25"/>
          <w:sz w:val="20"/>
        </w:rPr>
        <w:t xml:space="preserve">2. </w:t>
      </w:r>
      <w:r>
        <w:rPr>
          <w:rFonts w:ascii="Calibri" w:hAnsi="Calibri"/>
          <w:b w:val="0"/>
          <w:color w:val="3A4A28"/>
          <w:sz w:val="20"/>
        </w:rPr>
        <w:t>CTX112/CTX131 clinical data — allogeneic CAR-T readouts in autoimmune and oncology indications could validate CRISPR-based immunotherapy and unlock multi-billion-dollar market opportunities beyond hemoglobinopathies</w:t>
      </w:r>
    </w:p>
    <w:p>
      <w:pPr>
        <w:spacing w:before="40" w:after="40"/>
        <w:ind w:left="283"/>
      </w:pPr>
      <w:r>
        <w:rPr>
          <w:rFonts w:ascii="Calibri" w:hAnsi="Calibri"/>
          <w:b/>
          <w:color w:val="4A6B25"/>
          <w:sz w:val="20"/>
        </w:rPr>
        <w:t xml:space="preserve">3. </w:t>
      </w:r>
      <w:r>
        <w:rPr>
          <w:rFonts w:ascii="Calibri" w:hAnsi="Calibri"/>
          <w:b w:val="0"/>
          <w:color w:val="3A4A28"/>
          <w:sz w:val="20"/>
        </w:rPr>
        <w:t>In-vivo gene editing proof-of-concept — CTX310/CTX320 clinical data demonstrating durable cardiovascular risk factor reduction through one-time in-vivo CRISPR treatment could be transformative for the gene therapy field and CRISPR Therapeutics' total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CASGEVY commercial execution — at $2.2M per treatment with complex manufacturing requirements, the addressable patient volume for sickle cell and beta-thalassemia may prove smaller than projected, limiting near-term revenue growth [1]</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 Glassdoor evidence of toxicity, low management trust (42% CEO approval), and poor work-life balance could drive talent attrition at a critical moment when the company needs to scale both commercial and R&amp;D operations [2]</w:t>
      </w:r>
    </w:p>
    <w:p>
      <w:pPr>
        <w:spacing w:before="40" w:after="40"/>
        <w:ind w:left="283"/>
      </w:pPr>
      <w:r>
        <w:rPr>
          <w:rFonts w:ascii="Calibri" w:hAnsi="Calibri"/>
          <w:b/>
          <w:color w:val="4A6B25"/>
          <w:sz w:val="20"/>
        </w:rPr>
        <w:t xml:space="preserve">3. </w:t>
      </w:r>
      <w:r>
        <w:rPr>
          <w:rFonts w:ascii="Calibri" w:hAnsi="Calibri"/>
          <w:b w:val="0"/>
          <w:color w:val="3A4A28"/>
          <w:sz w:val="20"/>
        </w:rPr>
        <w:t>Pipeline binary risk — CTX112, CTX131, CTX310/CTX320, and CTX211 are each early-stage programs with substantial failure risk; any major clinical setback could materially reduce the market's valuation of pipeline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CRISPR gene editing involves physical biological processes — collecting patient stem cells, editing them with CRISPR/Cas9 in manufacturing facilities, and reinfusing them — that AI cannot substitute for [1]. The therapeutic product is a living biological material, not a digital service. CRISPR Therapeutics' patents on its Cas9 platform provide legal moats that AI cannot circumvent. However, AI is increasingly used in drug discovery and target identification, which could accelerate competing platforms from Intellia Therapeutics, Editas Medicine, and Beam Therapeutics. AI-driven protein engineering could also create next-generation gene editing tools that improve on Cas9 accuracy and efficiency, potentially eroding CRISPR Therapeutics' platform advantage over time. The company is protected but not immune — its moat is biological and regulatory, not technological exclusivity. AI Opportunity (1/1): While CRISPR Therapeutics does not generate AI-related revenue, AI tools for target identification, guide RNA optimization, and clinical trial design could meaningfully accelerate the company's pipeline development timelines. The intersection of AI and gene editing represents a significant opportunity for enhanced therapeutic discovery.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CRISPR Therapeutics Q4 2025 earnings — EPS -$1.37, $100M CASGEVY 2025 revenue target, significant 2026 growth expected, pipeline updates on CTX112/CTX131/CTX310/CTX320/CTX211, February 2026</w:t>
      </w:r>
    </w:p>
    <w:p>
      <w:pPr>
        <w:spacing w:before="20" w:after="20"/>
        <w:ind w:left="170"/>
      </w:pPr>
      <w:r>
        <w:rPr>
          <w:rFonts w:ascii="Calibri" w:hAnsi="Calibri"/>
          <w:b/>
          <w:color w:val="4A6B25"/>
          <w:sz w:val="15"/>
        </w:rPr>
        <w:t xml:space="preserve">2. </w:t>
      </w:r>
      <w:r>
        <w:rPr>
          <w:rFonts w:ascii="Calibri" w:hAnsi="Calibri"/>
          <w:b w:val="0"/>
          <w:color w:val="3A4A28"/>
          <w:sz w:val="17"/>
        </w:rPr>
        <w:t>CRISPR Therapeutics leadership and culture — CEO Samarth Kulkarni tenure since 2017, Glassdoor 3.5/5 overall, 2.6/5 senior management, 42% CEO approval, cultural concerns per employee reviews</w:t>
      </w:r>
    </w:p>
    <w:p>
      <w:pPr>
        <w:spacing w:before="20" w:after="20"/>
        <w:ind w:left="170"/>
      </w:pPr>
      <w:r>
        <w:rPr>
          <w:rFonts w:ascii="Calibri" w:hAnsi="Calibri"/>
          <w:b/>
          <w:color w:val="4A6B25"/>
          <w:sz w:val="15"/>
        </w:rPr>
        <w:t xml:space="preserve">3. </w:t>
      </w:r>
      <w:r>
        <w:rPr>
          <w:rFonts w:ascii="Calibri" w:hAnsi="Calibri"/>
          <w:b w:val="0"/>
          <w:color w:val="3A4A28"/>
          <w:sz w:val="17"/>
        </w:rPr>
        <w:t>CRISPR Therapeutics corporate responsibility — patient community engagement, ethical governance commitments, Sustainalytics 'None' controversy level, corporate website,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CRSP (CRISPR Therapeutics),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