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CRWV</w:t>
      </w:r>
      <w:r>
        <w:rPr>
          <w:rFonts w:ascii="Calibri" w:hAnsi="Calibri"/>
          <w:b/>
          <w:color w:val="1A2010"/>
          <w:sz w:val="40"/>
        </w:rPr>
        <w:t xml:space="preserve">  CoreWeave, Inc.</w:t>
      </w:r>
    </w:p>
    <w:p>
      <w:pPr>
        <w:spacing w:after="120"/>
      </w:pPr>
      <w:r>
        <w:rPr>
          <w:rFonts w:ascii="Calibri" w:hAnsi="Calibri"/>
          <w:b/>
          <w:color w:val="6E8450"/>
          <w:sz w:val="18"/>
        </w:rPr>
        <w:t>GROWTH SLEEVE · 2026-03-23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CoreWeave is the fastest-growing AI-native cloud platform, achieving $5.1 billion in 2025 revenue — faster than any other cloud provider in history. The company operates 43 data centers with over 850 MW of active power and approximately 3.1 GW of contracted capacity, serving hyperscalers including Microsoft, OpenAI, and Meta.</w:t>
      </w:r>
    </w:p>
    <w:p>
      <w:r>
        <w:rPr>
          <w:rFonts w:ascii="Calibri" w:hAnsi="Calibri"/>
          <w:b/>
          <w:color w:val="6E8450"/>
          <w:sz w:val="18"/>
        </w:rPr>
        <w:t>2,189 Employees · https://www.coreweave.com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Revenue surged from $229M (2023) to $1.9B (2024) to $5.1B (2025) — the fastest cloud revenue growth in history [1]. Secured $14.2B Meta agreement and massive Microsoft contract (67% of 2025 revenue). AI Deployment (2/2): Entire business is AI compute infrastructure — 43 data centers, 850+ MW active power, 3.1 GW contracted; acquiring Weights &amp; Biases for end-to-end AI platform [2]. Market Share (2/2): Dominant neocloud position with $60.7B remaining performance obligations and partnerships with Nvidia, Microsoft, Meta, and OpenAI. Pipeline (1/2): 2026 revenue expected to surge 134-138% to approximately $12B. R&amp;D Intensity (1/1): Pioneering GPU cloud architecture with liquid cooling innovations reducing energy consumption by 60%.</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CoreWeave's mission to be 'the essential cloud for AI' is market-driven rather than purpose-driven. Community Impact (1/2): $2B+ investment in UK and European data centers powered by 100% renewable energy; 2,000+ employees. Employee Retention (1/2): Rapid scaling from 900 to 2,000+ employees in 2025 suggests talent attraction; culture emphasizes 'fast-movers and forward-thinkers' [2]. Insider Buying (1/2): CEO Intrator co-founded the company and maintains significant ownership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Despite $5.1B revenue, CoreWeave posted $1.2B net loss in 2025 with profit margin of -22.7% [1][3]. D/E of 894.2% reflects extreme leverage with over $8B in debt and 9x net debt/adjusted EBITDA — one of the most leveraged technology companies. Forward P/E of -176.7 reflects deep unprofitability. 67% revenue concentration in Microsoft creates catastrophic single-customer risk. The $8.5B delayed-draw loan further amplifies leverage. Liquidity floor: 25.3M avg volume x $81.47 = $2.06B daily turnover passes.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CoreWeave demonstrates infinite game ambition through its vision of building essential AI infrastructure for the long term, CEO Intrator's emphasis on 'performance, scale, and durable infrastructure,' and strategic acquisitions (Weights &amp; Biases, Core Scientific). However, extreme leverage and dependence on continued AI spending boom introduce existential financial risk.</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Intrator's framing of 'building AI at home is key to U.S. competitiveness' elevates CoreWeave's mission beyond commercial cloud services to national strategic infrastructure [2]. The commitment to renewable-powered European data centers adds environmental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CoreWeave emphasizes collaboration and diverse perspectives, with a culture of empowerment and continuous learning [2]. Rapid scaling from 900 to 2,000+ employees while maintaining execution quality suggests effective team building. Three co-founders remain actively involved.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CoreWeave competes with AWS, Azure, Google Cloud, and Lambda Labs. The company's willingness to serve hyperscaler customers (even potential competitors) shows strategic flexibility, though the 67% Microsoft revenue concentration creates dependency risk.</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CoreWeave's transformation from cryptocurrency mining to AI cloud infrastructure — and its subsequent acquisitions of Weights &amp; Biases and Core Scientific — demonstrate significant existential flexibility and willingness to evolve the business model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Building the largest AI-native cloud platform in under a decade, raising $8B+ in debt financing, and testifying before the U.S. Senate on AI infrastructure demonstrate enormous conviction [2]. However, the leverage creates fragility that could undermine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CoreWeave achieved the fastest cloud revenue growth in history ($5.1B in 2025), has $60.7B in remaining performance obligations, and is expected to nearly triple revenue to approximately $12B in 2026 [1]. The company operates 43 data centers with 3.1 GW of contracted capacity, and 98% take-or-pay contracts provide revenue certainty. Strategic partnerships with Microsoft, Meta, OpenAI, and Nvidia position CoreWeave at the center of the AI infrastructure buildout. The Weights &amp; Biases acquisition creates an end-to-end AI platform. At Morningstar's $97 fair value estimate, the stock has 19% upside from current levels.</w:t>
      </w:r>
    </w:p>
    <w:p>
      <w:pPr>
        <w:spacing w:after="120"/>
      </w:pPr>
      <w:r>
        <w:rPr>
          <w:rFonts w:ascii="Calibri" w:hAnsi="Calibri"/>
          <w:b w:val="0"/>
          <w:color w:val="3A4A28"/>
          <w:sz w:val="20"/>
        </w:rPr>
        <w:t>The bear case is existential leverage risk: 894% D/E, $8B+ in debt, 9x net debt/EBITDA, and $1.2B net losses make CoreWeave among the most leveraged technology companies [1][3]. Microsoft accounts for 67% of revenue — loss or reduction of this contract would be catastrophic. DitchCarbon gives CoreWeave just 28/100 on sustainability despite claims of renewable energy usage. If AI infrastructure spending moderates or interest rates rise, CoreWeave's equity could be wiped out by debt obligations. Morningstar assigns no economic moat, and the company's return on invested capital fails to exceed cost of capital despite explosive growth. Competition from hyperscalers with vastly superior balance sheets poses long-term margin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execution toward approximately $12B, demonstrating that $60.7B RPO converts to actual recognized revenue at projected rates</w:t>
      </w:r>
    </w:p>
    <w:p>
      <w:pPr>
        <w:spacing w:before="40" w:after="40"/>
        <w:ind w:left="283"/>
      </w:pPr>
      <w:r>
        <w:rPr>
          <w:rFonts w:ascii="Calibri" w:hAnsi="Calibri"/>
          <w:b/>
          <w:color w:val="4A6B25"/>
          <w:sz w:val="20"/>
        </w:rPr>
        <w:t xml:space="preserve">2. </w:t>
      </w:r>
      <w:r>
        <w:rPr>
          <w:rFonts w:ascii="Calibri" w:hAnsi="Calibri"/>
          <w:b w:val="0"/>
          <w:color w:val="3A4A28"/>
          <w:sz w:val="20"/>
        </w:rPr>
        <w:t>Path to profitability — adjusted EBITDA margins improving as data centers reach operational maturity and utilization rises</w:t>
      </w:r>
    </w:p>
    <w:p>
      <w:pPr>
        <w:spacing w:before="40" w:after="40"/>
        <w:ind w:left="283"/>
      </w:pPr>
      <w:r>
        <w:rPr>
          <w:rFonts w:ascii="Calibri" w:hAnsi="Calibri"/>
          <w:b/>
          <w:color w:val="4A6B25"/>
          <w:sz w:val="20"/>
        </w:rPr>
        <w:t xml:space="preserve">3. </w:t>
      </w:r>
      <w:r>
        <w:rPr>
          <w:rFonts w:ascii="Calibri" w:hAnsi="Calibri"/>
          <w:b w:val="0"/>
          <w:color w:val="3A4A28"/>
          <w:sz w:val="20"/>
        </w:rPr>
        <w:t>Weights &amp; Biases integration creating a differentiated end-to-end AI platform that reduces customer churn and increases wallet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 894% D/E with 9x net debt/EBITDA means even small increases in interest rates could make equity value zero</w:t>
      </w:r>
    </w:p>
    <w:p>
      <w:pPr>
        <w:spacing w:before="40" w:after="40"/>
        <w:ind w:left="283"/>
      </w:pPr>
      <w:r>
        <w:rPr>
          <w:rFonts w:ascii="Calibri" w:hAnsi="Calibri"/>
          <w:b/>
          <w:color w:val="4A6B25"/>
          <w:sz w:val="20"/>
        </w:rPr>
        <w:t xml:space="preserve">2. </w:t>
      </w:r>
      <w:r>
        <w:rPr>
          <w:rFonts w:ascii="Calibri" w:hAnsi="Calibri"/>
          <w:b w:val="0"/>
          <w:color w:val="3A4A28"/>
          <w:sz w:val="20"/>
        </w:rPr>
        <w:t>Microsoft customer concentration at 67% of revenue — contract modification or loss would be existential; no diversification achieved despite scale</w:t>
      </w:r>
    </w:p>
    <w:p>
      <w:pPr>
        <w:spacing w:before="40" w:after="40"/>
        <w:ind w:left="283"/>
      </w:pPr>
      <w:r>
        <w:rPr>
          <w:rFonts w:ascii="Calibri" w:hAnsi="Calibri"/>
          <w:b/>
          <w:color w:val="4A6B25"/>
          <w:sz w:val="20"/>
        </w:rPr>
        <w:t xml:space="preserve">3. </w:t>
      </w:r>
      <w:r>
        <w:rPr>
          <w:rFonts w:ascii="Calibri" w:hAnsi="Calibri"/>
          <w:b w:val="0"/>
          <w:color w:val="3A4A28"/>
          <w:sz w:val="20"/>
        </w:rPr>
        <w:t>AI infrastructure spending slowdown — if hyperscaler capex moderates, CoreWeave's take-or-pay contracts protect revenue but debt service obligations remain fixed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CoreWeave's entire business IS AI infrastructure — the company is the quintessential AI enabler, providing GPU compute, networking, and colocation that AI developers need to train and deploy models [1][2]. Physical data center assets with long-term take-or-pay contracts (98% of revenue) provide durable competitive positioning. AI Opportunity (1/1): $60.7B in remaining performance obligations, 2026 revenue expected at approximately $12B — CoreWeave is among the most direct AI revenue beneficiaries in public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CoreWeave 10-K Annual Report (FY2025) and Q3 2025 Earnings Release</w:t>
      </w:r>
    </w:p>
    <w:p>
      <w:pPr>
        <w:spacing w:before="20" w:after="20"/>
        <w:ind w:left="170"/>
      </w:pPr>
      <w:r>
        <w:rPr>
          <w:rFonts w:ascii="Calibri" w:hAnsi="Calibri"/>
          <w:b/>
          <w:color w:val="4A6B25"/>
          <w:sz w:val="15"/>
        </w:rPr>
        <w:t xml:space="preserve">2. </w:t>
      </w:r>
      <w:r>
        <w:rPr>
          <w:rFonts w:ascii="Calibri" w:hAnsi="Calibri"/>
          <w:b w:val="0"/>
          <w:color w:val="3A4A28"/>
          <w:sz w:val="17"/>
        </w:rPr>
        <w:t>CoreWeave CEO Michael Intrator — Columbia Business School interview, CEO year-end message, Senate testimony, 2025-2026</w:t>
      </w:r>
    </w:p>
    <w:p>
      <w:pPr>
        <w:spacing w:before="20" w:after="20"/>
        <w:ind w:left="170"/>
      </w:pPr>
      <w:r>
        <w:rPr>
          <w:rFonts w:ascii="Calibri" w:hAnsi="Calibri"/>
          <w:b/>
          <w:color w:val="4A6B25"/>
          <w:sz w:val="15"/>
        </w:rPr>
        <w:t xml:space="preserve">3. </w:t>
      </w:r>
      <w:r>
        <w:rPr>
          <w:rFonts w:ascii="Calibri" w:hAnsi="Calibri"/>
          <w:b w:val="0"/>
          <w:color w:val="3A4A28"/>
          <w:sz w:val="17"/>
        </w:rPr>
        <w:t>CoreWeave ESG criticism — DitchCarbon sustainability report, Ainvest ESG analysis, Ed Zitron critique,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CRWV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