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CSAN</w:t>
      </w:r>
      <w:r>
        <w:rPr>
          <w:rFonts w:ascii="Calibri" w:hAnsi="Calibri"/>
          <w:b/>
          <w:color w:val="1A2010"/>
          <w:sz w:val="40"/>
        </w:rPr>
        <w:t xml:space="preserve">  Cosan S.A.</w:t>
      </w:r>
    </w:p>
    <w:p>
      <w:pPr>
        <w:spacing w:after="120"/>
      </w:pPr>
      <w:r>
        <w:rPr>
          <w:rFonts w:ascii="Calibri" w:hAnsi="Calibri"/>
          <w:b/>
          <w:color w:val="6E8450"/>
          <w:sz w:val="18"/>
        </w:rPr>
        <w:t>GROWTH SLEEVE · 2026-04-14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Brazil</w:t>
      </w:r>
    </w:p>
    <w:p>
      <w:pPr>
        <w:spacing w:after="80"/>
      </w:pPr>
      <w:r>
        <w:rPr>
          <w:rFonts w:ascii="Calibri" w:hAnsi="Calibri"/>
          <w:b w:val="0"/>
          <w:color w:val="3A4A28"/>
          <w:sz w:val="20"/>
        </w:rPr>
        <w:t>Cosan S.A. is a diversified Brazilian conglomerate operating in energy, logistics, and natural resources through holdings including Raizen (sugar, ethanol, fuel distribution JV with Shell), Rumo (rail logistics), Compass (gas distribution), and Moove (lubricants).</w:t>
      </w:r>
    </w:p>
    <w:p>
      <w:r>
        <w:rPr>
          <w:rFonts w:ascii="Calibri" w:hAnsi="Calibri"/>
          <w:b/>
          <w:color w:val="6E8450"/>
          <w:sz w:val="18"/>
        </w:rPr>
        <w:t>40,000 Employees · https://www.cosan.com.br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Cosan's innovation track record is tied to portfolio reshaping via acquisitions and the Raizen JV with Shell, but the last 5 years have been dominated by financial restructuring rather than new products. [1] No notable AI deployment or AI-driven cost savings quantified. [2] Meaningful player in Brazilian energy/logistics but not a defining category leader globally. No specific next-gen product pipeline with timelines disclosed. R&amp;D intensity is modest and typical of a commodity-linked conglomerate. Score: track record 1 + AI 0 + share 1 + pipeline 0 + R&amp;D 1 =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'Result with purpose' articulates profit as a means to societal development, and Vision ESG 2030 is specific and thoughtful (3 points mission floor). [3] Sustainability Committee and Dow Jones Sustainability Index 2023 inclusion provide some charitable/community impact evidence (1 point). No specific retention/tenure data surfaced; no net insider buying signal (controlling shareholder Ometto is instead arranging personal loans against stake). Score: 3 + 1 + 0 + 0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Weak financials reflect Raizen-driven stress and Brazilian macro headwinds. [1] Negative ROE (-29%), negative profit margin (-24%), high D/E (~110%), and negative revenue CAGR make this a structurally weak balance sheet despite decent YoY revenue growth (~27% partly reflecting currency effects). Forward P/E ~17.6 is acceptable. Liquidity passes ($4.39 x 2.2M avg vol = $9.7M,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Cosan has a multi-decade family-controlled vision under Ometto but current cycle is dominated by debt management at Raizen, eroding the long-term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'Result with purpose' and Vision ESG 2030 articulate a cause (low-carbon Brazilian energy transition) but execution is currently subordinated to financial triage at Raizen. [3]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Long-standing family governance under Ometto provides continuity but no exceptional trust-culture evidence surfaced.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Little evidence of a learning-oriented competitive posture; language is transactional.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Cosan has reinvented its portfolio via Rumo rail, Compass gas, Moove lubes, and Raizen - evolution rather than a single transformative pivot. [2]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is taking hard decisions to isolate Cosan's capital structure from Raizen's distress, showing some courage, though much of this is forced rather than chosen. [1]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Cosan offers exposure to Brazilian energy transition, rail logistics, and gas distribution through a family-controlled conglomerate with decades of portfolio compounding under Ometto. Vision ESG 2030 and positioning in sugar/ethanol make it structurally AI-immune and levered to physical-economy demand. Forward P/E of ~17.6 reflects a market pricing eventual normalization.</w:t>
      </w:r>
    </w:p>
    <w:p>
      <w:pPr>
        <w:spacing w:after="120"/>
      </w:pPr>
      <w:r>
        <w:rPr>
          <w:rFonts w:ascii="Calibri" w:hAnsi="Calibri"/>
          <w:b w:val="0"/>
          <w:color w:val="3A4A28"/>
          <w:sz w:val="20"/>
        </w:rPr>
        <w:t>The bear case dominates: Raizen's restructuring is consuming management bandwidth and capital, the company posted a ($0.16) EPS miss in Q4 2025 with managed EBITDA down YoY, and controlling shareholder Ometto is negotiating a $141M personal loan against his stake - a significant insider-financing red flag. ROE is deeply negative (-29%), profit margin -24%, and Raizen 2026 will not return to 2023-2024 profitability levels per management guidance. [1] Until capital structure stabilizes, risk/reward is unfavorable.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Raizen capital injection of ~$765M and eventual return to historical profitability (management targets gradual recovery beyond 2026)</w:t>
      </w:r>
    </w:p>
    <w:p>
      <w:pPr>
        <w:spacing w:before="40" w:after="40"/>
        <w:ind w:left="283"/>
      </w:pPr>
      <w:r>
        <w:rPr>
          <w:rFonts w:ascii="Calibri" w:hAnsi="Calibri"/>
          <w:b/>
          <w:color w:val="4A6B25"/>
          <w:sz w:val="20"/>
        </w:rPr>
        <w:t xml:space="preserve">2. </w:t>
      </w:r>
      <w:r>
        <w:rPr>
          <w:rFonts w:ascii="Calibri" w:hAnsi="Calibri"/>
          <w:b w:val="0"/>
          <w:color w:val="3A4A28"/>
          <w:sz w:val="20"/>
        </w:rPr>
        <w:t>Rumo rail logistics volume growth from Brazilian grain exports</w:t>
      </w:r>
    </w:p>
    <w:p>
      <w:pPr>
        <w:spacing w:before="40" w:after="40"/>
        <w:ind w:left="283"/>
      </w:pPr>
      <w:r>
        <w:rPr>
          <w:rFonts w:ascii="Calibri" w:hAnsi="Calibri"/>
          <w:b/>
          <w:color w:val="4A6B25"/>
          <w:sz w:val="20"/>
        </w:rPr>
        <w:t xml:space="preserve">3. </w:t>
      </w:r>
      <w:r>
        <w:rPr>
          <w:rFonts w:ascii="Calibri" w:hAnsi="Calibri"/>
          <w:b w:val="0"/>
          <w:color w:val="3A4A28"/>
          <w:sz w:val="20"/>
        </w:rPr>
        <w:t>Compass and Moove carve-out or value-crystallizing transactions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Raizen debt restructuring 'contaminating' Cosan's capital structure despite management efforts to isolate it</w:t>
      </w:r>
    </w:p>
    <w:p>
      <w:pPr>
        <w:spacing w:before="40" w:after="40"/>
        <w:ind w:left="283"/>
      </w:pPr>
      <w:r>
        <w:rPr>
          <w:rFonts w:ascii="Calibri" w:hAnsi="Calibri"/>
          <w:b/>
          <w:color w:val="4A6B25"/>
          <w:sz w:val="20"/>
        </w:rPr>
        <w:t xml:space="preserve">2. </w:t>
      </w:r>
      <w:r>
        <w:rPr>
          <w:rFonts w:ascii="Calibri" w:hAnsi="Calibri"/>
          <w:b w:val="0"/>
          <w:color w:val="3A4A28"/>
          <w:sz w:val="20"/>
        </w:rPr>
        <w:t>Controlling shareholder Ometto's personal leverage against CSAN stake creating margin-call / forced-sale risk</w:t>
      </w:r>
    </w:p>
    <w:p>
      <w:pPr>
        <w:spacing w:before="40" w:after="40"/>
        <w:ind w:left="283"/>
      </w:pPr>
      <w:r>
        <w:rPr>
          <w:rFonts w:ascii="Calibri" w:hAnsi="Calibri"/>
          <w:b/>
          <w:color w:val="4A6B25"/>
          <w:sz w:val="20"/>
        </w:rPr>
        <w:t xml:space="preserve">3. </w:t>
      </w:r>
      <w:r>
        <w:rPr>
          <w:rFonts w:ascii="Calibri" w:hAnsi="Calibri"/>
          <w:b w:val="0"/>
          <w:color w:val="3A4A28"/>
          <w:sz w:val="20"/>
        </w:rPr>
        <w:t>Brazilian real depreciation and interest rate volatility compressing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Cosan's core businesses - sugar/ethanol production, fuel retail, rail logistics, gas distribution, and lubricants - are physical-world operations that AI structurally cannot displace. [2] Analysts are focused on Raizen restructuring and debt, not AI substitution risk. AI may marginally improve operational efficiency in logistics but does not threaten demand. No meaningful AI revenue generated. Score: protection 8 + opportunity 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Cosan SA Q4 2025 Earnings Call Highlights, Yahoo Finance, March 2026</w:t>
      </w:r>
    </w:p>
    <w:p>
      <w:pPr>
        <w:spacing w:before="20" w:after="20"/>
        <w:ind w:left="170"/>
      </w:pPr>
      <w:r>
        <w:rPr>
          <w:rFonts w:ascii="Calibri" w:hAnsi="Calibri"/>
          <w:b/>
          <w:color w:val="4A6B25"/>
          <w:sz w:val="15"/>
        </w:rPr>
        <w:t xml:space="preserve">2. </w:t>
      </w:r>
      <w:r>
        <w:rPr>
          <w:rFonts w:ascii="Calibri" w:hAnsi="Calibri"/>
          <w:b w:val="0"/>
          <w:color w:val="3A4A28"/>
          <w:sz w:val="17"/>
        </w:rPr>
        <w:t>Insider Monkey, 'Cosan's JV Raizen Discussing $765 Million Injection', 2026</w:t>
      </w:r>
    </w:p>
    <w:p>
      <w:pPr>
        <w:spacing w:before="20" w:after="20"/>
        <w:ind w:left="170"/>
      </w:pPr>
      <w:r>
        <w:rPr>
          <w:rFonts w:ascii="Calibri" w:hAnsi="Calibri"/>
          <w:b/>
          <w:color w:val="4A6B25"/>
          <w:sz w:val="15"/>
        </w:rPr>
        <w:t xml:space="preserve">3. </w:t>
      </w:r>
      <w:r>
        <w:rPr>
          <w:rFonts w:ascii="Calibri" w:hAnsi="Calibri"/>
          <w:b w:val="0"/>
          <w:color w:val="3A4A28"/>
          <w:sz w:val="17"/>
        </w:rPr>
        <w:t>Cosan ESG Vision 2030, cosan.com.br/en/esg,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