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CSTE</w:t>
      </w:r>
      <w:r>
        <w:rPr>
          <w:rFonts w:ascii="Calibri" w:hAnsi="Calibri"/>
          <w:b/>
          <w:color w:val="1A2010"/>
          <w:sz w:val="40"/>
        </w:rPr>
        <w:t xml:space="preserve">  Caesarstone Ltd.</w:t>
      </w:r>
    </w:p>
    <w:p>
      <w:pPr>
        <w:spacing w:after="120"/>
      </w:pPr>
      <w:r>
        <w:rPr>
          <w:rFonts w:ascii="Calibri" w:hAnsi="Calibri"/>
          <w:b/>
          <w:color w:val="6E8450"/>
          <w:sz w:val="18"/>
        </w:rPr>
        <w:t>GROWTH SLEEVE · 2026-05-04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NASDAQ · Israel</w:t>
      </w:r>
    </w:p>
    <w:p>
      <w:pPr>
        <w:spacing w:after="80"/>
      </w:pPr>
      <w:r>
        <w:rPr>
          <w:rFonts w:ascii="Calibri" w:hAnsi="Calibri"/>
          <w:b w:val="0"/>
          <w:color w:val="3A4A28"/>
          <w:sz w:val="20"/>
        </w:rPr>
        <w:t>Caesarstone designs, develops, manufactures, and sells engineered stone and porcelain surfaces under the Caesarstone and Lioli brands. Products include countertops, vanity tops, wall panels, and floor tiles for residential and commercial applications. The company has transitioned to an asset-light model, outsourcing quartz production to third-party partners after closing its Bar-Lev facility.</w:t>
      </w:r>
    </w:p>
    <w:p>
      <w:r>
        <w:rPr>
          <w:rFonts w:ascii="Calibri" w:hAnsi="Calibri"/>
          <w:b/>
          <w:color w:val="6E8450"/>
          <w:sz w:val="18"/>
        </w:rPr>
        <w:t>1,266 Employees · https://caesarstone.com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Caesarstone launched ICON advanced fusion surfaces made with ~80% recycled materials and crystalline silica-free composition, a meaningful product refresh addressing regulatory pressure on silica content [1][3]. However, the company has not opened new revenue streams — revenue declined from $690.8M in 2022 to $397.2M in 2025, a 42% contraction [2]. AI Deployment (0/2): No evidence of AI-powered products or AI-driven operational efficiencies in any public filings or management commentary. Pipeline (1/2): The ICON product line expansion and transition to 146 EPD-certified models by 2026 shows product development activity, but no next-gen products with specific revenue visibility have been announced [3]. Market Share (1/2): Caesarstone remains a recognized brand in engineered surfaces but is losing share as the global market shifts to lower-cost competitors and porcelain alternatives. R&amp;D Intensity (0/1): R&amp;D spending is minimal relative to the restructuring-focused cost base, and the company has shifted to outsourced manufacturing.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Caesarstone's stated purpose centers on 'inspiring living spaces with quality surfaces' — clear but not distinctive, essentially describing what any surface manufacturer does without articulating a deeper purpose. Community Impact (1/2): The company's ESG report highlights 100% wastewater recycling at production sites, 100% recycling rate at its Lioli plant in India, and Scope 3 emissions measurement — genuine environmental programs with measurable targets [3]. Employee Retention (0/2): Glassdoor rating of 3.2/5 for culture and values, with reviews citing constant leadership turnover and lack of upward mobility [4]. CEO Yos Shiran was brought back in 2023 after previous CEO departures, suggesting organizational instability. Insider Buying (0/2): No evidence of meaningful insider buying; the company's $44M market cap and persistent losses make insider conviction signals absent.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Caesarstone's financial profile is deeply distressed. Revenue of $397.2M in 2025 represents a third consecutive year of decline, down 10.4% from $443.2M in 2024 and down 42% from the 2022 peak of $690.8M [1][2]. The company posted a net loss of $137.5M in 2025 versus $42.8M in 2024, with profit margins at -34.6% and ROE at -66.7% [1]. D/E of 98% is manageable but irrelevant given the operating losses. Forward P/E is negative (the company is expected to lose $1.00/share). Management targets positive adjusted EBITDA by Q3 2026 via ~$100M in annualized cost savings from the asset-light transition, but this remains unproven [1]. Liquidity floor passes narrowly: 1.07M avg volume × $1.28 = $1.37M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Caesarstone is in survival mode, not playing an infinite game. The company has spent the last three years in reactive restructuring — closing its flagship manufacturing facility, cutting 60% of revenue, and cycling through leadership. Strategic decisions are driven by cost-cutting necessity rather than a forward-looking Just Cause. The return of former CEO Yos Shiran suggests the company is reaching back to its past rather than building toward a distinctive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Caesarstone lacks a compelling Just Cause. The company's purpose — making quality surfaces — is a product description, not a vision of a better future. Strategic decisions over the past three years (plant closures, outsourcing production, workforce reductions) are survival moves, not cause-driven choices. There is no evidence that leadership articulates why Caesarstone should exist beyond being a surface brand [1][4].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dominate. Glassdoor reviews describe constant leadership turnover, with Israeli headquarters replacing US leadership teams every two years [4]. The company reduced headcount from over 2,000 to 1,266 through facility closures and restructuring. Employee reviews cite lack of upward mobility and 'yes man' culture under plant leadership. The revolving door of CEOs (Shiran left in 2016, returned in 2023 after multiple interim leaders) creates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Caesarstone's competitive language focuses on defending market position against low-cost Asian manufacturers rather than learning from rivals' strengths. The company has acknowledged the threat from porcelain and alternative surfaces by launching ICON, but the overall posture is reactive and defensive rather than viewing competition as an opportunity for self-improvement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transition from vertically integrated manufacturer to asset-light model represents meaningful strategic flexibility — Caesarstone closed its Bar-Lev plant and outsourced all quartz production to third-party partners, targeting $100M in annualized savings [1]. This is a genuine business model transformation, though driven by financial necessity rather than a forward-looking Just Cause. The ICON product line (silica-free, 80% recycled materials) shows willingness to evolve the product portfolio.</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Leadership decisions have been reactive — closing plants after years of declining revenue, bringing back the former CEO when the turnaround stalled. The company's $137.5M net loss in 2025 reflects the cost of delayed action rather than bold forward-looking investment [1]. Management guidance targets breakeven EBITDA by Q3 2026, which is a survival milestone, not a courage marker.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Caesarstone is a turnaround story with significant execution risk. The company has completed a dramatic restructuring — closing its Bar-Lev manufacturing facility, transitioning to a fully outsourced asset-light production model, and targeting ~$100M in annualized cost savings [1]. Management expects to return to positive adjusted EBITDA by Q3 2026. The ICON product line (silica-free, 80% recycled materials) addresses growing regulatory pressure on crystalline silica exposure and could differentiate the brand [3]. At $1.28/share with a $44M market cap, the stock prices in near-terminal risk — any margin recovery would generate substantial upside from this base.</w:t>
      </w:r>
    </w:p>
    <w:p>
      <w:pPr>
        <w:spacing w:after="120"/>
      </w:pPr>
      <w:r>
        <w:rPr>
          <w:rFonts w:ascii="Calibri" w:hAnsi="Calibri"/>
          <w:b w:val="0"/>
          <w:color w:val="3A4A28"/>
          <w:sz w:val="20"/>
        </w:rPr>
        <w:t>The bear case is severe. Revenue has declined 42% from $690.8M (2022) to $397.2M (2025), with no signs of demand recovery [2]. The net loss widened to $137.5M in 2025 from $42.8M in 2024, driven by restructuring charges and legal costs [1]. Profit margins are deeply negative at -34.6%, ROE is -66.7%, and forward EPS guidance implies continued losses. The engineered stone market faces structural headwinds from lower-cost porcelain alternatives and Asian competitors who can undercut Caesarstone's pricing even after cost savings. The $44M market cap and 1,266 employees suggest a company fighting for survival. Leadership instability (CEO carousel, Glassdoor complaints about turnover) undermines turnaround credibility [4]. Even if breakeven is achieved, the company lacks a growth catalyst to rebuild revenue toward prior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Asset-light transition delivering $100M in annualized cost savings, with management targeting positive adjusted EBITDA by Q3 2026 [1]</w:t>
      </w:r>
    </w:p>
    <w:p>
      <w:pPr>
        <w:spacing w:before="40" w:after="40"/>
        <w:ind w:left="283"/>
      </w:pPr>
      <w:r>
        <w:rPr>
          <w:rFonts w:ascii="Calibri" w:hAnsi="Calibri"/>
          <w:b/>
          <w:color w:val="4A6B25"/>
          <w:sz w:val="20"/>
        </w:rPr>
        <w:t xml:space="preserve">2. </w:t>
      </w:r>
      <w:r>
        <w:rPr>
          <w:rFonts w:ascii="Calibri" w:hAnsi="Calibri"/>
          <w:b w:val="0"/>
          <w:color w:val="3A4A28"/>
          <w:sz w:val="20"/>
        </w:rPr>
        <w:t>ICON silica-free product line addressing regulatory restrictions on crystalline silica, potentially reopening markets like Australia where silica bans have impacted the industry [3]</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at $44M market cap — the Caesarstone brand retains recognition value that could attract a strategic buyer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continues to decline with no visibility on demand recovery — the engineered stone category faces structural pressure from lower-cost porcelain and sintered stone alternatives [1][2]</w:t>
      </w:r>
    </w:p>
    <w:p>
      <w:pPr>
        <w:spacing w:before="40" w:after="40"/>
        <w:ind w:left="283"/>
      </w:pPr>
      <w:r>
        <w:rPr>
          <w:rFonts w:ascii="Calibri" w:hAnsi="Calibri"/>
          <w:b/>
          <w:color w:val="4A6B25"/>
          <w:sz w:val="20"/>
        </w:rPr>
        <w:t xml:space="preserve">2. </w:t>
      </w:r>
      <w:r>
        <w:rPr>
          <w:rFonts w:ascii="Calibri" w:hAnsi="Calibri"/>
          <w:b w:val="0"/>
          <w:color w:val="3A4A28"/>
          <w:sz w:val="20"/>
        </w:rPr>
        <w:t>Net losses of $137.5M in 2025 are burning through remaining capital; if the EBITDA breakeven target slips beyond Q3 2026, the company may need dilutive financing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and cultural dysfunction — CEO turnover history and poor Glassdoor ratings (3.2/5 culture score) undermine turnaround execution capability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Caesarstone's core business — manufacturing and distributing physical engineered stone and porcelain surfaces — is inherently protected from AI substitution. AI cannot replace kitchen countertops, wall panels, or floor tiles; these are physical products requiring raw materials, fabrication, and installation [4]. However, the company faces indirect AI exposure: AI-powered design tools could shift consumer preferences faster, and AI-optimized supply chains from competitors could accelerate the cost advantage of lower-priced Asian manufacturers that are already eroding Caesarstone's market position. The company's transition to outsourced manufacturing also means it has less proprietary process technology to defend. AI Opportunity (1/1): Caesarstone could leverage AI for design visualization tools and supply chain optimization in its new asset-light model, though no AI revenue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Caesarstone Q4 and Full Year 2025 Earnings Release — $397.2M revenue, $137.5M net loss, asset-light transition update, March 2026</w:t>
      </w:r>
    </w:p>
    <w:p>
      <w:pPr>
        <w:spacing w:before="20" w:after="20"/>
        <w:ind w:left="170"/>
      </w:pPr>
      <w:r>
        <w:rPr>
          <w:rFonts w:ascii="Calibri" w:hAnsi="Calibri"/>
          <w:b/>
          <w:color w:val="4A6B25"/>
          <w:sz w:val="15"/>
        </w:rPr>
        <w:t xml:space="preserve">2. </w:t>
      </w:r>
      <w:r>
        <w:rPr>
          <w:rFonts w:ascii="Calibri" w:hAnsi="Calibri"/>
          <w:b w:val="0"/>
          <w:color w:val="3A4A28"/>
          <w:sz w:val="17"/>
        </w:rPr>
        <w:t>MacroTrends / yfinance — CSTE historical revenue and financial data,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Caesarstone 2024 ESG Report — ICON product launch, recycling metrics, EPD certifications, 3BL Media</w:t>
      </w:r>
    </w:p>
    <w:p>
      <w:pPr>
        <w:spacing w:before="20" w:after="20"/>
        <w:ind w:left="170"/>
      </w:pPr>
      <w:r>
        <w:rPr>
          <w:rFonts w:ascii="Calibri" w:hAnsi="Calibri"/>
          <w:b/>
          <w:color w:val="4A6B25"/>
          <w:sz w:val="15"/>
        </w:rPr>
        <w:t xml:space="preserve">4. </w:t>
      </w:r>
      <w:r>
        <w:rPr>
          <w:rFonts w:ascii="Calibri" w:hAnsi="Calibri"/>
          <w:b w:val="0"/>
          <w:color w:val="3A4A28"/>
          <w:sz w:val="17"/>
        </w:rPr>
        <w:t>Glassdoor / Comparably — Caesarstone employee reviews, CEO leadership, culture ratings,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