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CSTM</w:t>
      </w:r>
      <w:r>
        <w:rPr>
          <w:rFonts w:ascii="Calibri" w:hAnsi="Calibri"/>
          <w:b/>
          <w:color w:val="1A2010"/>
          <w:sz w:val="40"/>
        </w:rPr>
        <w:t xml:space="preserve">  Constellium SE</w:t>
      </w:r>
    </w:p>
    <w:p>
      <w:pPr>
        <w:spacing w:after="120"/>
      </w:pPr>
      <w:r>
        <w:rPr>
          <w:rFonts w:ascii="Calibri" w:hAnsi="Calibri"/>
          <w:b/>
          <w:color w:val="6E8450"/>
          <w:sz w:val="18"/>
        </w:rPr>
        <w:t>GROWTH SLEEVE · 2026-04-19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NYSE · France</w:t>
      </w:r>
    </w:p>
    <w:p>
      <w:pPr>
        <w:spacing w:after="80"/>
      </w:pPr>
      <w:r>
        <w:rPr>
          <w:rFonts w:ascii="Calibri" w:hAnsi="Calibri"/>
          <w:b w:val="0"/>
          <w:color w:val="3A4A28"/>
          <w:sz w:val="20"/>
        </w:rPr>
        <w:t>Constellium designs, manufactures, and sells rolled and extruded aluminum products for aerospace, packaging, automotive, commercial transportation, defense, and industrial end-markets. The company operates across three segments: Packaging &amp; Automotive Rolled Products, Aerospace &amp; Transportation, and Automotive Structures &amp; Industry. Headquartered in Paris, France.</w:t>
      </w:r>
    </w:p>
    <w:p>
      <w:r>
        <w:rPr>
          <w:rFonts w:ascii="Calibri" w:hAnsi="Calibri"/>
          <w:b/>
          <w:color w:val="6E8450"/>
          <w:sz w:val="18"/>
        </w:rPr>
        <w:t>11,500 Employees · https://www.constellium.com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Constellium grew revenue 15% YoY to $8.45B in 2025 and achieved record adjusted EBITDA of $846M (+36% YoY), driven by strong execution across automotive, aerospace, and packaging segments [1][2]. The company successfully navigated volatile aluminum markets and expanded capacity to serve EV battery enclosures and lightweighting demand. AI Deployment (1/2): Constellium has deployed 'cobots' (collaborative robots), condition-based maintenance, remote monitoring, and digital twin technologies across plants, supported by a three-year digital strategy and an innovation fund for plant-level digital projects [3]. Market Share (1/2): Constellium holds a meaningful position in European aluminum rolled products for aerospace and automotive, competing with Novelis and Alcoa; it is a key supplier to Airbus and major European automakers but is not the outright category leader [1]. Pipeline (1/2): The company has outlined 2028 targets of $900M adjusted EBITDA and $300M free cash flow, with capacity expansion investments in EV battery enclosures and aerospace plate; however, specific next-gen product launches are not articulated beyond incremental capacity adds [1]. R&amp;D Intensity (1/1): Constellium invests above industry average in alloy development, recycling technology, and lightweight aluminum solutions for automotive and aerospace applications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Constellium positions itself as advancing sustainable aluminum solutions — 'developing innovative and high value-added aluminum products for a broad scope of markets' — clear and relevant but not distinctively aspirational beyond what any specialty materials company would say [4]. Community Impact (1/2): The company publishes comprehensive sustainability reports, has set GHG reduction targets (25% by 2025 vs. 2015), and earned MSCI ESG 'AA' rating; sustainability-linked bonds demonstrate financial commitment to ESG goals [5]. Employee Retention (1/2): Glassdoor rating of ~3.4/5 for culture and values with mixed reviews — employees cite approachable CEO leadership and collaboration, but also flag poor communication and constant policy changes; gender diversity is weak at 13% women overall [3]. Insider Buying (1/2): Minimal net insider activity — officer Marcus Becker sold $251K in March 2026; most insider transactions are stock award grants rather than open-market purchases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Constellium's financial profile is strong on growth and valuation metrics but constrained by leverage and thin margins. D/E of 212.5% scores 0.38 reflecting $2.06B in debt, though net leverage improved to 2.5x and the company is actively deleveraging [1][6]. ROE of 32.4% scores 1.0 — excellent for a materials company [6]. Revenue growth of 15.2% YoY and 10.0% 5-year CAGR both score 1.0, demonstrating consistent above-target growth [2]. Forward P/E of 12.8x scores 1.0 — deeply undervalued relative to growth profile [6]. GAAP profit margin of 3.2% scores 0.16 — typical for a capital-intensive aluminum processor, with value creation better measured by adjusted EBITDA margin (~10%) [1]. PEG of 0.4 scores 1.0 — indicating exceptional value relative to growth [6]. Weighted sum 8.54/10.0 = Infrastructure 9. Liquidity floor cleared: $68M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Constellium demonstrates a mixed infinite/finite mindset. The company's long-term investment in aluminum technology, recycling capabilities, and sustainability-linked financing suggest durable thinking, but the primary competitive frame is market share in commodity-adjacent markets, and the recent CEO transition adds uncertainty about strategic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Constellium's purpose centers on 'developing innovative aluminum products' and advancing sustainability in materials — genuine but functional rather than transformative [4]. The company's strategic narrative is about serving end-markets (aerospace, automotive, packaging) rather than advancing a vision of a future worth sacrificing for. The sustainability commitment is meaningful but industry-standard.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for culture suggests adequate but not exceptional trust [3]. Employees cite approachable leadership and collaboration, but flag poor communication and policy changes. The planned CEO succession from Jean-Marc Germain to Ingrid Joerg (January 2026) was orderly — Joerg has 25+ years in aluminum and 10 years at Constellium — suggesting institutional continuity [3]. Gender diversity of 13% is a notable weakness.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Constellium operates in a competitive landscape with Novelis, Alcoa, and Arconic, and the company's strategic positioning emphasizes improving its own capabilities (alloy development, recycling technology, customer qualification) rather than defeating competitors [4]. Management language focuses on serving customer needs and advancing sustainability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Constellium has evolved from a commodity aluminum producer toward high-value specialty applications — EV battery enclosures, aerospace plate, and automotive body sheet — demonstrating meaningful strategic adaptation [1]. The sustainability-linked bond issuances and GHG reduction targets show willingness to commit capital to a different operating model. However, the core business of processing aluminum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demonstrated conviction by repurchasing $115M in shares (8.9M shares) during 2025 while maintaining investment in capacity expansion, showing willingness to return capital while investing for growth [1]. The decision to issue sustainability-linked bonds with binding ESG targets commits the company to measurable environmental goals with financial consequences. However, no examples of sacrificing short-term earnings for transformative long-term bets were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Constellium is a deeply undervalued specialty aluminum producer trading at 12.8x forward P/E and 0.4x PEG with record FY2025 results — $8.45B revenue (+15% YoY), $846M adjusted EBITDA (+36%), and $275M net income (vs. $60M prior year) [1][2]. The company operates at the intersection of three secular tailwinds: EV lightweighting (battery enclosures and automotive body sheet), aerospace production ramp (Airbus supplier), and sustainable packaging (aluminum can stock replacing plastic) [1]. Share buybacks of $115M in 2025 demonstrate capital return discipline, and the 2028 targets of $900M EBITDA and $300M free cash flow provide a credible growth roadmap [1]. The new CEO Ingrid Joerg brings 25+ years of aluminum industry experience and a decade at Constellium, ensuring strategic continuity [3].</w:t>
      </w:r>
    </w:p>
    <w:p>
      <w:pPr>
        <w:spacing w:after="120"/>
      </w:pPr>
      <w:r>
        <w:rPr>
          <w:rFonts w:ascii="Calibri" w:hAnsi="Calibri"/>
          <w:b w:val="0"/>
          <w:color w:val="3A4A28"/>
          <w:sz w:val="20"/>
        </w:rPr>
        <w:t>The bear case centers on cyclicality, leverage, and margin fragility. FY2025 EBITDA included $126M of favorable metal price lag effects that will not recur, explaining the lower 2026 guidance of $780-$820M adjusted EBITDA [1]. D/E of 212% with $2.06B in debt creates leverage risk in a cyclical industry vulnerable to recession-driven demand declines in automotive and aerospace [6]. GAAP profit margin of just 3.2% leaves minimal room for error — a modest revenue downturn could swing the company to losses, as occurred in Q4 2024 ($47M net loss) [1]. Aluminum is ultimately a commodity business where pricing power is limited, and Constellium faces competition from larger, better-capitalized players like Novelis (Hindalco) and Alcoa. Tariff uncertainty and potential aerospace destocking in early 2026 add near-term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EV lightweighting demand driving growth in battery enclosures and automotive body sheet, with European automakers accelerating aluminum adoption for weight reduction [1]</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as the market recognizes 0.4x PEG and 12.8x forward P/E for a company with 10%+ 5-year revenue CAGR and improving capital returns [6]</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and share buybacks — 2.5x leverage ratio trending toward 2x, with $200M+ free cash flow guided for 2026 supporting further capital return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demand exposure — automotive and aerospace end-markets are sensitive to economic slowdowns, and 2026 guidance implies EBITDA decline of 3-8% excluding metal lag tailwinds [1]</w:t>
      </w:r>
    </w:p>
    <w:p>
      <w:pPr>
        <w:spacing w:before="40" w:after="40"/>
        <w:ind w:left="283"/>
      </w:pPr>
      <w:r>
        <w:rPr>
          <w:rFonts w:ascii="Calibri" w:hAnsi="Calibri"/>
          <w:b/>
          <w:color w:val="4A6B25"/>
          <w:sz w:val="20"/>
        </w:rPr>
        <w:t xml:space="preserve">2. </w:t>
      </w:r>
      <w:r>
        <w:rPr>
          <w:rFonts w:ascii="Calibri" w:hAnsi="Calibri"/>
          <w:b w:val="0"/>
          <w:color w:val="3A4A28"/>
          <w:sz w:val="20"/>
        </w:rPr>
        <w:t>High leverage at 212% D/E with $2.06B in debt, creating refinancing risk and limiting flexibility if aluminum prices decline or end-market demand weakens [6]</w:t>
      </w:r>
    </w:p>
    <w:p>
      <w:pPr>
        <w:spacing w:before="40" w:after="40"/>
        <w:ind w:left="283"/>
      </w:pPr>
      <w:r>
        <w:rPr>
          <w:rFonts w:ascii="Calibri" w:hAnsi="Calibri"/>
          <w:b/>
          <w:color w:val="4A6B25"/>
          <w:sz w:val="20"/>
        </w:rPr>
        <w:t xml:space="preserve">3. </w:t>
      </w:r>
      <w:r>
        <w:rPr>
          <w:rFonts w:ascii="Calibri" w:hAnsi="Calibri"/>
          <w:b w:val="0"/>
          <w:color w:val="3A4A28"/>
          <w:sz w:val="20"/>
        </w:rPr>
        <w:t>Commodity price exposure — despite value-added processing, Constellium's revenues are heavily influenced by aluminum LME pricing, and favorable metal price lag effects ($126M in 2025) are inherently temporary and volatile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Aluminum manufacturing is a physical-world, capital-intensive industrial process that AI structurally cannot displace [1]. Constellium's core operations — smelting, rolling, extruding, and fabricating aluminum alloys for aerospace, automotive, and packaging applications — require massive physical infrastructure, specialized metallurgical expertise, and decades of customer qualification. AI may actually increase demand for Constellium's products as data centers require aluminum for cooling systems, EV battery enclosures drive lightweighting demand, and aerospace production ramps [1][4]. The company has no business lines at risk of AI substitution. AI Opportunity (0/1): No AI-generated revenue; digital initiatives (cobots, digital twins, condition-based maintenance) improve operational efficiency but do not constitute revenue-generating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Constellium FY2025 and Q4 2025 Earnings Release — $8.45B revenue, $846M adjusted EBITDA, $275M net income, February 2026</w:t>
      </w:r>
    </w:p>
    <w:p>
      <w:pPr>
        <w:spacing w:before="20" w:after="20"/>
        <w:ind w:left="170"/>
      </w:pPr>
      <w:r>
        <w:rPr>
          <w:rFonts w:ascii="Calibri" w:hAnsi="Calibri"/>
          <w:b/>
          <w:color w:val="4A6B25"/>
          <w:sz w:val="15"/>
        </w:rPr>
        <w:t xml:space="preserve">2. </w:t>
      </w:r>
      <w:r>
        <w:rPr>
          <w:rFonts w:ascii="Calibri" w:hAnsi="Calibri"/>
          <w:b w:val="0"/>
          <w:color w:val="3A4A28"/>
          <w:sz w:val="17"/>
        </w:rPr>
        <w:t>WallStreetZen — Constellium SE Revenue History, 2019-2025, 5-year CAGR ~10%</w:t>
      </w:r>
    </w:p>
    <w:p>
      <w:pPr>
        <w:spacing w:before="20" w:after="20"/>
        <w:ind w:left="170"/>
      </w:pPr>
      <w:r>
        <w:rPr>
          <w:rFonts w:ascii="Calibri" w:hAnsi="Calibri"/>
          <w:b/>
          <w:color w:val="4A6B25"/>
          <w:sz w:val="15"/>
        </w:rPr>
        <w:t xml:space="preserve">3. </w:t>
      </w:r>
      <w:r>
        <w:rPr>
          <w:rFonts w:ascii="Calibri" w:hAnsi="Calibri"/>
          <w:b w:val="0"/>
          <w:color w:val="3A4A28"/>
          <w:sz w:val="17"/>
        </w:rPr>
        <w:t>Constellium corporate website — Leadership team, digital strategy, Glassdoor reviews, CEO transition to Ingrid Joerg</w:t>
      </w:r>
    </w:p>
    <w:p>
      <w:pPr>
        <w:spacing w:before="20" w:after="20"/>
        <w:ind w:left="170"/>
      </w:pPr>
      <w:r>
        <w:rPr>
          <w:rFonts w:ascii="Calibri" w:hAnsi="Calibri"/>
          <w:b/>
          <w:color w:val="4A6B25"/>
          <w:sz w:val="15"/>
        </w:rPr>
        <w:t xml:space="preserve">4. </w:t>
      </w:r>
      <w:r>
        <w:rPr>
          <w:rFonts w:ascii="Calibri" w:hAnsi="Calibri"/>
          <w:b w:val="0"/>
          <w:color w:val="3A4A28"/>
          <w:sz w:val="17"/>
        </w:rPr>
        <w:t>Constellium corporate website — Sustainability page, ESG reports, GHG emissions targets, digital innovation programs</w:t>
      </w:r>
    </w:p>
    <w:p>
      <w:pPr>
        <w:spacing w:before="20" w:after="20"/>
        <w:ind w:left="170"/>
      </w:pPr>
      <w:r>
        <w:rPr>
          <w:rFonts w:ascii="Calibri" w:hAnsi="Calibri"/>
          <w:b/>
          <w:color w:val="4A6B25"/>
          <w:sz w:val="15"/>
        </w:rPr>
        <w:t xml:space="preserve">5. </w:t>
      </w:r>
      <w:r>
        <w:rPr>
          <w:rFonts w:ascii="Calibri" w:hAnsi="Calibri"/>
          <w:b w:val="0"/>
          <w:color w:val="3A4A28"/>
          <w:sz w:val="17"/>
        </w:rPr>
        <w:t>Constellium Sustainability Report 2024, MSCI ESG AA rating, sustainability-linked bonds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CSTM,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