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CTAS</w:t>
      </w:r>
      <w:r>
        <w:rPr>
          <w:rFonts w:ascii="Calibri" w:hAnsi="Calibri"/>
          <w:b/>
          <w:color w:val="1A2010"/>
          <w:sz w:val="40"/>
        </w:rPr>
        <w:t xml:space="preserve">  Cintas Corporation</w:t>
      </w:r>
    </w:p>
    <w:p>
      <w:pPr>
        <w:spacing w:after="120"/>
      </w:pPr>
      <w:r>
        <w:rPr>
          <w:rFonts w:ascii="Calibri" w:hAnsi="Calibri"/>
          <w:b/>
          <w:color w:val="6E8450"/>
          <w:sz w:val="18"/>
        </w:rPr>
        <w:t>GROWTH SLEEVE · 2026-04-19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United States</w:t>
      </w:r>
    </w:p>
    <w:p>
      <w:pPr>
        <w:spacing w:after="80"/>
      </w:pPr>
      <w:r>
        <w:rPr>
          <w:rFonts w:ascii="Calibri" w:hAnsi="Calibri"/>
          <w:b w:val="0"/>
          <w:color w:val="3A4A28"/>
          <w:sz w:val="20"/>
        </w:rPr>
        <w:t>Cintas Corporation provides corporate identity uniforms, facility services, first aid and safety products, and fire protection services primarily in the United States, Canada, and Latin America. The company operates a route-based rental model managing millions of individual assets including uniforms, mats, mops, and restroom supplies for businesses of all sizes.</w:t>
      </w:r>
    </w:p>
    <w:p>
      <w:r>
        <w:rPr>
          <w:rFonts w:ascii="Calibri" w:hAnsi="Calibri"/>
          <w:b/>
          <w:color w:val="6E8450"/>
          <w:sz w:val="18"/>
        </w:rPr>
        <w:t>48,300 Employees · https://www.cintas.com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Cintas delivered consistent organic growth of 8.2% in Q3 FY2026 and achieved all-time high gross margins in each of its three route-based businesses [1]. The pending UniFirst acquisition represents a transformative move to consolidate the uniform rental industry, expected to drive further growth post-close [1]. AI Deployment (1/2): Cintas expanded its partnership with Google Cloud to build a generative AI-powered internal knowledge center on the Vertex AI platform, enabling employees to rapidly search contracts, product manuals, and internal documents [2]. No external AI products shipping to customers yet. Market Share (1/2): Cintas is the clear market leader in uniform rental with ~$11B annual revenue and the UniFirst acquisition will further consolidate its dominant position, though it operates in a fragmented industry rather than defining a new category [1]. Pipeline (1/2): The UniFirst acquisition pipeline is specific and transformative, but organic product pipeline visibility beyond incremental service additions is limited [1]. R&amp;D Intensity (1/1): Cintas invests meaningfully in technology and route optimization relative to industrial services peers, including the Google Cloud AI partnership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Cintas's stated purpose — 'We help our customers get Ready for the Workday' — is clear and identifies what the company does and for whom, but does not articulate a deeper transformative purpose beyond operational service delivery. It is functional rather than inspiring. Community Impact (1/2): Cintas has general corporate philanthropy programs and achieved its lowest safety incident rate in company history (1.35) in FY2024, and reduced emissions intensity by 40% since FY2019, demonstrating commitment to employee safety and environmental stewardship [3]. Employee Retention (1/2): Cintas employs 48,300 people with mixed Glassdoor reviews — some cite strong culture and work-life balance while others note concerns about executive leadership, suggesting average retention for the industry [2]. Insider Buying (1/2): Director Robert Coletti exercised options in April 2026 at $26.86-$27.10 per share, but no meaningful open-market purchases by CEO or executive team in the last 12 months; mostly stock gifts and awards observed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Cintas delivers strong profitability with 17.6% profit margins, 41.3% ROE, and low 60.9% D/E, but faces a rich valuation at 33.0x forward P/E and a near-floor PEG of 2.82 [1][4]. Mechanical calculation (Growth sleeve): D/E 60.9% scores 1.0 (1x), ROE 41.3% scores 1.0 (2x), revenue growth YoY 8.9% scores 0.96 (1x), revenue growth 5yr CAGR 9.6% scores 0.97 (2x), forward P/E 33.0 scores 0.67 (1x), profit margin 17.6% scores 0.88 (1x), Forward PEG 2.82 scores 0.09 (2x). Weighted sum: 1.0+2.0+0.96+1.94+0.67+0.88+0.18 = 7.63. Max weight: 10. Score: 7.63/10×10 = 8. Liquidity floor easily cleared: 2.24M avg volume × $179.17 = $401M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Cintas demonstrates many hallmarks of infinite game thinking — a 56-year track record of consistent execution, 41 consecutive years of dividend increases, and long-tenured leadership. The company's patient route-based model and focus on operational excellence over flashy acquisitions reflect a play-to-keep-playing mentality, though the UniFirst acquisition marks a more aggressive consolidation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Cintas's cause — helping businesses 'get Ready for the Workday' — is genuine and has been consistently pursued for over five decades since founder Dick Farmer started the business in 1968 [1]. While not transformative in Sinek's terms, it is deeply embedded in the company's DNA and has survived leadership transitions from the Farmer family to professional management. The cause shapes product development and customer relationships but lacks the idealistic, world-changing dimension Sinek demands for top scores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Cintas maintains a stable workforce of 48,300 employees with long leadership tenures and consistent operational execution [4]. Mixed Glassdoor reviews suggest adequate but not exceptional trust — some employees praise the culture and growth opportunities while others note pressure in route-based roles [2]. The company's all-time low safety incident rate of 1.35 reflects genuine investment in employee wellbeing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UniFirst acquisition reflects both competitive awareness and a willingness to acknowledge rival strengths — UniFirst built meaningful market share that Cintas chose to acquire rather than outcompete, suggesting respect for the rival's position [1]. Cintas has historically used competitive dynamics with UniFirst and Aramark to continuously improve its own service model rather than pursuing destructive price wars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Cintas has evolved incrementally from a pure uniform laundry business into a diversified facility services platform, adding first aid and safety services, fire protection, and restroom supplies over decades [1]. These extensions were strategic and deliberate but incremental rather than transformative — the company has never abandoned a core business line or made a radical pivot. The UniFirst acquisition is the most aggressive move in the company's history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Cintas has demonstrated courage through consistent long-term investment in route density and operational excellence even during economic downturns, maintaining its 41-year dividend growth streak through the 2008 financial crisis and COVID-19 pandemic [4]. The UniFirst acquisition required $4.6B in committed financing, showing willingness to take on meaningful risk for long-term consolidation. However, leadership's approach is more steady execution than bold contrarian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Cintas is the dominant player in North American uniform rental and facility services, delivering Q3 FY2026 revenue of $2.84B (up 8.9% YoY) with all-time high gross margins across all three route-based businesses and full-year guidance of $11.21-$11.24B in revenue with adjusted diluted EPS of $4.86-$4.90 [1]. The pending UniFirst acquisition will add ~$2.4B in revenue and create the undisputed industry leader with significant route density synergies. With 41.3% ROE, 17.6% profit margins, low 60.9% D/E, and 41 consecutive years of dividend increases, Cintas demonstrates the financial durability and operational excellence that anchor an IOWN Hold rating [4].</w:t>
      </w:r>
    </w:p>
    <w:p>
      <w:pPr>
        <w:spacing w:after="120"/>
      </w:pPr>
      <w:r>
        <w:rPr>
          <w:rFonts w:ascii="Calibri" w:hAnsi="Calibri"/>
          <w:b w:val="0"/>
          <w:color w:val="3A4A28"/>
          <w:sz w:val="20"/>
        </w:rPr>
        <w:t>The bear case centers on Cintas's premium valuation — at 33.0x forward P/E and 2.82 PEG, the stock prices in near-perfect execution with minimal margin of safety [4]. The UniFirst acquisition introduces integration risk and temporarily elevates leverage. Revenue growth of 8.9% is solid but not accelerating, and the uniform rental industry is inherently tied to employment levels, making Cintas vulnerable to economic slowdowns and rising unemployment. The Google Cloud AI partnership is promising but unproven in driving measurable operational savings. At a $71.7B market cap, Cintas must sustain high-single-digit organic growth and flawless UniFirst integration to justify its valuation premium over industrial peers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UniFirst acquisition integration expected to drive meaningful route density synergies and consolidate Cintas's dominant market position in a fragmented $40B+ industry [1]</w:t>
      </w:r>
    </w:p>
    <w:p>
      <w:pPr>
        <w:spacing w:before="40" w:after="40"/>
        <w:ind w:left="283"/>
      </w:pPr>
      <w:r>
        <w:rPr>
          <w:rFonts w:ascii="Calibri" w:hAnsi="Calibri"/>
          <w:b/>
          <w:color w:val="4A6B25"/>
          <w:sz w:val="20"/>
        </w:rPr>
        <w:t xml:space="preserve">2. </w:t>
      </w:r>
      <w:r>
        <w:rPr>
          <w:rFonts w:ascii="Calibri" w:hAnsi="Calibri"/>
          <w:b w:val="0"/>
          <w:color w:val="3A4A28"/>
          <w:sz w:val="20"/>
        </w:rPr>
        <w:t>All-time high gross margins across all three route-based businesses in Q3 FY2026, with continued margin expansion potential from scale and AI-driven route optimization [1][2]</w:t>
      </w:r>
    </w:p>
    <w:p>
      <w:pPr>
        <w:spacing w:before="40" w:after="40"/>
        <w:ind w:left="283"/>
      </w:pPr>
      <w:r>
        <w:rPr>
          <w:rFonts w:ascii="Calibri" w:hAnsi="Calibri"/>
          <w:b/>
          <w:color w:val="4A6B25"/>
          <w:sz w:val="20"/>
        </w:rPr>
        <w:t xml:space="preserve">3. </w:t>
      </w:r>
      <w:r>
        <w:rPr>
          <w:rFonts w:ascii="Calibri" w:hAnsi="Calibri"/>
          <w:b w:val="0"/>
          <w:color w:val="3A4A28"/>
          <w:sz w:val="20"/>
        </w:rPr>
        <w:t>Full-year FY2026 guidance raised to $11.21-$11.24B revenue and $4.86-$4.90 adjusted EPS, reflecting consistent organic growth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33.0x forward P/E and 2.82 PEG leaves minimal margin of safety — any deceleration in organic growth or UniFirst integration stumbles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Macro sensitivity to employment levels — Cintas's route-based model depends on businesses having employees who need uniforms, making revenue vulnerable to recession-driven job losses [1]</w:t>
      </w:r>
    </w:p>
    <w:p>
      <w:pPr>
        <w:spacing w:before="40" w:after="40"/>
        <w:ind w:left="283"/>
      </w:pPr>
      <w:r>
        <w:rPr>
          <w:rFonts w:ascii="Calibri" w:hAnsi="Calibri"/>
          <w:b/>
          <w:color w:val="4A6B25"/>
          <w:sz w:val="20"/>
        </w:rPr>
        <w:t xml:space="preserve">3. </w:t>
      </w:r>
      <w:r>
        <w:rPr>
          <w:rFonts w:ascii="Calibri" w:hAnsi="Calibri"/>
          <w:b w:val="0"/>
          <w:color w:val="3A4A28"/>
          <w:sz w:val="20"/>
        </w:rPr>
        <w:t>UniFirst integration risk — the $4.6B acquisition is the largest in Cintas history and introduces execution risk on synergy realization, customer retention, and cultural integration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Cintas's core business is fundamentally physical — picking up, laundering, repairing, and delivering millions of uniforms, mats, and facility supplies via 12,000+ route drivers daily [1]. AI cannot replace the physical logistics of uniform rental, restroom servicing, or first aid cabinet stocking. The route-based model with deep customer relationships and high switching costs creates structural immunity to AI substitution. If anything, AI enhances Cintas's operations through predictive route optimization and the Google Cloud knowledge center [2]. AI Opportunity (0/1): No quantifiable AI revenue — the Google Cloud partnership is an internal efficiency tool, not a revenue-generating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Cintas Corporation Q3 FY2026 Earnings Release — $2.84B revenue, 8.9% growth, raised full-year guidance, March 25, 2026</w:t>
      </w:r>
    </w:p>
    <w:p>
      <w:pPr>
        <w:spacing w:before="20" w:after="20"/>
        <w:ind w:left="170"/>
      </w:pPr>
      <w:r>
        <w:rPr>
          <w:rFonts w:ascii="Calibri" w:hAnsi="Calibri"/>
          <w:b/>
          <w:color w:val="4A6B25"/>
          <w:sz w:val="15"/>
        </w:rPr>
        <w:t xml:space="preserve">2. </w:t>
      </w:r>
      <w:r>
        <w:rPr>
          <w:rFonts w:ascii="Calibri" w:hAnsi="Calibri"/>
          <w:b w:val="0"/>
          <w:color w:val="3A4A28"/>
          <w:sz w:val="17"/>
        </w:rPr>
        <w:t>Klover.ai — Cintas AI Strategy Analysis; Google Cloud Vertex AI partnership announcement, April 2024</w:t>
      </w:r>
    </w:p>
    <w:p>
      <w:pPr>
        <w:spacing w:before="20" w:after="20"/>
        <w:ind w:left="170"/>
      </w:pPr>
      <w:r>
        <w:rPr>
          <w:rFonts w:ascii="Calibri" w:hAnsi="Calibri"/>
          <w:b/>
          <w:color w:val="4A6B25"/>
          <w:sz w:val="15"/>
        </w:rPr>
        <w:t xml:space="preserve">3. </w:t>
      </w:r>
      <w:r>
        <w:rPr>
          <w:rFonts w:ascii="Calibri" w:hAnsi="Calibri"/>
          <w:b w:val="0"/>
          <w:color w:val="3A4A28"/>
          <w:sz w:val="17"/>
        </w:rPr>
        <w:t>Cintas 2024 Sustainability Report — lowest safety incident rate (1.35), 40% emissions reduction since FY2019</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CTAS (Cintas Corporation),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