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CTMX</w:t>
      </w:r>
      <w:r>
        <w:rPr>
          <w:rFonts w:ascii="Calibri" w:hAnsi="Calibri"/>
          <w:b/>
          <w:color w:val="1A2010"/>
          <w:sz w:val="40"/>
        </w:rPr>
        <w:t xml:space="preserve">  CytomX Therapeutics, Inc.</w:t>
      </w:r>
    </w:p>
    <w:p>
      <w:pPr>
        <w:spacing w:after="120"/>
      </w:pPr>
      <w:r>
        <w:rPr>
          <w:rFonts w:ascii="Calibri" w:hAnsi="Calibri"/>
          <w:b/>
          <w:color w:val="6E8450"/>
          <w:sz w:val="18"/>
        </w:rPr>
        <w:t>GROWTH SLEEVE · 2026-03-30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CytomX Therapeutics is a clinical-stage oncology-focused biopharmaceutical company developing conditionally activated biologics using its proprietary PROBODY platform. The company's lead candidates include Varseta-M (CX-2051), a conditionally activated ADC targeting EpCAM for colorectal cancer, and CX-801, an interferon alpha-2b PROBODY cytokine. CytomX has strategic collaborations with Amgen, Astellas, Bristol Myers Squibb, Regeneron, and Moderna.</w:t>
      </w:r>
    </w:p>
    <w:p>
      <w:r>
        <w:rPr>
          <w:rFonts w:ascii="Calibri" w:hAnsi="Calibri"/>
          <w:b/>
          <w:color w:val="6E8450"/>
          <w:sz w:val="18"/>
        </w:rPr>
        <w:t>69 Employees · https://www.cytomx.com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declined 45% YoY from $138.1M to $76.2M as the BMS collaboration performance obligations completed in April 2025 and Astellas terminated remaining preclinical programs effective Q2 2026 [1]. The company remains pre-commercial with no approved products. AI Deployment (1/2): CytomX utilizes AI in drug discovery and preclinical research processes, though the company has disclosed AI regulatory risks as a material concern, suggesting growing but early-stage AI integration [2]. Market Share (2/2): The PROBODY conditional activation platform is differentiated and validated by partnerships with five major pharma companies (Amgen, BMS, Regeneron, Moderna, Astellas), providing meaningful competitive positioning in the ADC and T-cell engager space [1]. Pipeline (2/2): Varseta-M Phase 1 data in late-line CRC drew a Piper Sandler price target raise to $12 with Overweight rating; FDA registrational path alignment is the top 2026 priority, and CX-801/KEYTRUDA combination data expected by year-end [1][2]. R&amp;D Intensity (0/1): R&amp;D spend is substantial relative to revenue for a clinical-stage biotech, but the 40% headcount reduction signals resource constraints rather than R&amp;D expansion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CytomX's mission to 'transform lives with safer, more effective therapies' is authentic for an oncology-focused biotech — the PROBODY platform addresses real unmet medical needs in solid tumors where conventional therapies cause significant toxicity [3]. Community Impact (1/2): With only 69 employees after a 40% headcount reduction, CytomX's direct community impact is minimal, though successful drug development would benefit cancer patients significantly [2]. Employee Retention (1/2): Glassdoor rating of 3.8/5 with 67% recommending; employees praise innovative platform and culture (4.2/5 culture rating) but some describe toxic dynamics and concerns about company survival prospects [2]. Insider Buying (0/2): CEO Sean McCarthy's $1.75M compensation is below industry median, suggesting modest alignment; the $250M stock offering in March 2026 dilutes existing shareholders significantly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CytomX's financial profile is characteristic of a cash-burning clinical-stage biotech. Revenue of $76.2M (down 45% YoY) is entirely collaboration-derived with no product revenue, and the company reported negative operating cash flow of -$75.6M [1]. Profit margin is -22.8% with ROE of -35.2%, reflecting sustained losses. Cash of $137.1M provides runway only into Q2 2027, necessitating the dilutive $250M March 2026 equity offering [1]. D/E of 4.3% is minimal (mostly lease liabilities), and the company has negligible debt. Forward P/E is meaningless at -9.2x given expected continued losses. The $949M market cap on $76.2M declining revenue prices in significant pipeline optionality [1]. Liquidity floor cleared: 6.22M avg vol x $4.39 = $27.3M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CytomX plays a mixed game — the mission to develop safer cancer therapies reflects infinite thinking, but the 40% headcount reduction, collaboration terminations, and dilutive financing signal a company in survival mode focused on reaching the next clinical milestone rather than building for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conditionally activated cancer therapies that reduce toxicity while maintaining efficacy is a genuinely compelling just cause — patients with late-line CRC have limited options, and the PROBODY platform addresses the fundamental trade-off between efficacy and safety in oncology [1]. CEO McCarthy's 14+ year tenure demonstrates personal commitment to the mission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40% headcount reduction primarily affecting research and administrative functions, combined with Glassdoor reviews describing 'toxic environment' and 'favoritism used in place of competence,' suggest trust has been strained by organizational upheaval [2]. However, the 4.2/5 Glassdoor culture rating and passionate VP-level leadership indicate pockets of strong team cohesion remain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CytomX competes against ADC leaders like Daiichi Sankyo (Enhertu), Seagen/Pfizer, and emerging AI-native drug discovery platforms. The company's strategic collaborations with five major pharma partners validate the PROBODY platform's differentiation, but the Astellas termination shows not all partners see sufficient value to continue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CytomX has pivoted from broad platform licensing to focused internal pipeline development with Varseta-M as the lead asset, showing willingness to concentrate resources on the highest-value opportunity [1]. The $250M equity raise, while dilutive, demonstrates the ability to secure capital to fund the pivot. However, the company's survival depends on a narrow set of clinical outcomes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40% headcount reduction and strategic narrowing to priority programs required difficult decisions, and CEO McCarthy's transparency about the company's 2026 priorities (FDA alignment for Varseta-M) shows clarity of purpose [2]. However, the Astellas termination and revenue decline suggest leadership has struggled to maintain the breadth of partnerships that once defined the platform's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CytomX Therapeutics is a high-risk, high-reward clinical-stage biotech with a differentiated conditional activation platform validated by partnerships with Amgen, BMS, Regeneron, and Moderna [1]. The lead candidate Varseta-M showed encouraging Phase 1 data in late-line CRC, prompting Piper Sandler to raise its price target to $12 (173% upside from current price) with Overweight rating [2]. At $949M market cap, investors are paying primarily for pipeline optionality — if Varseta-M achieves FDA registrational alignment in 2026 and CX-801/KEYTRUDA combination data are positive, the stock could re-rate significantly. The $250M equity raise extends runway and funds pivotal development [1].</w:t>
      </w:r>
    </w:p>
    <w:p>
      <w:pPr>
        <w:spacing w:after="120"/>
      </w:pPr>
      <w:r>
        <w:rPr>
          <w:rFonts w:ascii="Calibri" w:hAnsi="Calibri"/>
          <w:b w:val="0"/>
          <w:color w:val="3A4A28"/>
          <w:sz w:val="20"/>
        </w:rPr>
        <w:t>The bear case is existential — CytomX is a 69-person company burning $75.6M annually with revenue declining 45% as collaboration milestones expire [1]. The Astellas termination in Q2 2026 removes a partner and signals that not all pharma companies see sufficient value in the PROBODY platform [1]. Cash runway extends only to Q2 2027 even with the $250M raise, meaning additional dilution is likely if clinical milestones slip. The company's survival depends on a narrow set of clinical readouts: Varseta-M FDA path alignment and CX-801 combination data by year-end 2026. Forward P/E is meaningless at -9.2x, and the 40% headcount reduction reveals a company in triage mode rather than growth mode [2]. Biotech base rates are unfavorable — 90% of clinical-stage biotechs fail, as even CytomX employees acknowledge on Glassdoor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registrational path alignment for Varseta-M in late-line CRC — the company's top 2026 priority and primary value driver [1]</w:t>
      </w:r>
    </w:p>
    <w:p>
      <w:pPr>
        <w:spacing w:before="40" w:after="40"/>
        <w:ind w:left="283"/>
      </w:pPr>
      <w:r>
        <w:rPr>
          <w:rFonts w:ascii="Calibri" w:hAnsi="Calibri"/>
          <w:b/>
          <w:color w:val="4A6B25"/>
          <w:sz w:val="20"/>
        </w:rPr>
        <w:t xml:space="preserve">2. </w:t>
      </w:r>
      <w:r>
        <w:rPr>
          <w:rFonts w:ascii="Calibri" w:hAnsi="Calibri"/>
          <w:b w:val="0"/>
          <w:color w:val="3A4A28"/>
          <w:sz w:val="20"/>
        </w:rPr>
        <w:t>CX-801/KEYTRUDA combination data in advanced melanoma expected by year-end 2026, potentially opening a second high-value indication [1]</w:t>
      </w:r>
    </w:p>
    <w:p>
      <w:pPr>
        <w:spacing w:before="40" w:after="40"/>
        <w:ind w:left="283"/>
      </w:pPr>
      <w:r>
        <w:rPr>
          <w:rFonts w:ascii="Calibri" w:hAnsi="Calibri"/>
          <w:b/>
          <w:color w:val="4A6B25"/>
          <w:sz w:val="20"/>
        </w:rPr>
        <w:t xml:space="preserve">3. </w:t>
      </w:r>
      <w:r>
        <w:rPr>
          <w:rFonts w:ascii="Calibri" w:hAnsi="Calibri"/>
          <w:b w:val="0"/>
          <w:color w:val="3A4A28"/>
          <w:sz w:val="20"/>
        </w:rPr>
        <w:t>Piper Sandler Overweight rating with $12 price target (173% upside) following encouraging Varseta-M Phase 1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company survival depends on Varseta-M FDA alignment and CX-801 data readouts; failure in either could be terminal for a 69-person company [1]</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 $75.6M annual operating cash outflow with runway only to Q2 2027; the $250M equity raise significantly dilutes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Partner attrition — Astellas termination in Q2 2026 and completion of BMS obligations reduce collaboration revenue to near-zero, increasing reliance on capital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CytomX faces moderate AI disruption risk — AI-driven drug discovery platforms from competitors (Recursion, Insilico Medicine, Absci) could accelerate rival ADC and bispecific development timelines, potentially commoditizing conditional activation approaches [2]. However, CytomX's validated pharma partnerships and proprietary PROBODY platform provide a defensible moat that AI alone cannot easily replicate. The company has disclosed AI regulatory compliance as a material risk factor, suggesting it is integrating AI into operations but faces cost and governance challenges [2]. AI Opportunity (1/1): AI could accelerate CytomX's own preclinical candidate identification and optimize clinical trial design, particularly valuable for a resource-constrained 69-person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CytomX Therapeutics 2025 Financial Results and Business Update — $76.2M revenue, $137.1M cash, $250M offering, March 16, 2026</w:t>
      </w:r>
    </w:p>
    <w:p>
      <w:pPr>
        <w:spacing w:before="20" w:after="20"/>
        <w:ind w:left="170"/>
      </w:pPr>
      <w:r>
        <w:rPr>
          <w:rFonts w:ascii="Calibri" w:hAnsi="Calibri"/>
          <w:b/>
          <w:color w:val="4A6B25"/>
          <w:sz w:val="15"/>
        </w:rPr>
        <w:t xml:space="preserve">2. </w:t>
      </w:r>
      <w:r>
        <w:rPr>
          <w:rFonts w:ascii="Calibri" w:hAnsi="Calibri"/>
          <w:b w:val="0"/>
          <w:color w:val="3A4A28"/>
          <w:sz w:val="17"/>
        </w:rPr>
        <w:t>Piper Sandler / StocksToTrade / TipRanks — Analyst coverage, AI regulatory risks, Varseta-M Phase 1 data, Glassdoor reviews, March 2026</w:t>
      </w:r>
    </w:p>
    <w:p>
      <w:pPr>
        <w:spacing w:before="20" w:after="20"/>
        <w:ind w:left="170"/>
      </w:pPr>
      <w:r>
        <w:rPr>
          <w:rFonts w:ascii="Calibri" w:hAnsi="Calibri"/>
          <w:b/>
          <w:color w:val="4A6B25"/>
          <w:sz w:val="15"/>
        </w:rPr>
        <w:t xml:space="preserve">3. </w:t>
      </w:r>
      <w:r>
        <w:rPr>
          <w:rFonts w:ascii="Calibri" w:hAnsi="Calibri"/>
          <w:b w:val="0"/>
          <w:color w:val="3A4A28"/>
          <w:sz w:val="17"/>
        </w:rPr>
        <w:t>CytomX Therapeutics About Page and Investor Relations — Mission, pipeline, collaborations,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CTMX (CytomX Therapeutics),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