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CTRA</w:t>
      </w:r>
      <w:r>
        <w:rPr>
          <w:rFonts w:ascii="Calibri" w:hAnsi="Calibri"/>
          <w:b/>
          <w:color w:val="1A2010"/>
          <w:sz w:val="40"/>
        </w:rPr>
        <w:t xml:space="preserve">  Coterra Energy Inc.</w:t>
      </w:r>
    </w:p>
    <w:p>
      <w:pPr>
        <w:spacing w:after="120"/>
      </w:pPr>
      <w:r>
        <w:rPr>
          <w:rFonts w:ascii="Calibri" w:hAnsi="Calibri"/>
          <w:b/>
          <w:color w:val="6E8450"/>
          <w:sz w:val="18"/>
        </w:rPr>
        <w:t>DIVIDEND SLEEVE · 2026-04-06 · Inspire: 28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E&amp;P · NYSE · United States</w:t>
      </w:r>
    </w:p>
    <w:p>
      <w:pPr>
        <w:spacing w:after="80"/>
      </w:pPr>
      <w:r>
        <w:rPr>
          <w:rFonts w:ascii="Calibri" w:hAnsi="Calibri"/>
          <w:b w:val="0"/>
          <w:color w:val="3A4A28"/>
          <w:sz w:val="20"/>
        </w:rPr>
        <w:t>Coterra Energy is an independent oil and gas exploration and production company operating primarily in three U.S. basins: the Permian Basin (Delaware Basin, ~345,000 net acres in west Texas and southeast New Mexico), Marcellus Shale (~186,000 net acres in northeast Pennsylvania), and Anadarko Basin (~208,000 net acres in Oklahoma). Formed in October 2021 through the merger of Cabot Oil &amp; Gas and Cimarex Energy, Coterra produces a roughly 50/50 mix of oil and natural gas/NGLs.</w:t>
      </w:r>
    </w:p>
    <w:p>
      <w:r>
        <w:rPr>
          <w:rFonts w:ascii="Calibri" w:hAnsi="Calibri"/>
          <w:b/>
          <w:color w:val="6E8450"/>
          <w:sz w:val="18"/>
        </w:rPr>
        <w:t>1,075 Employees · https://www.coterra.com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The 2021 Cabot-Cimarex merger created a diversified E&amp;P company, but since then Coterra has focused on operational execution rather than transformative innovation. Revenue of $7.64B in 2025 reflects commodity price recovery rather than new business model creation [1]. The pending Devon Energy merger announced February 2026 represents strategic consolidation, not innovation. AI Deployment (0/2): No evidence of AI-powered products or quantified AI-driven operational savings. Coterra deploys standard industry technologies for leak detection and field infrastructure electrification [3]. Market Share (2/2): Coterra holds premier acreage positions in two of the most productive U.S. basins — the Delaware Basin (Permian) and Marcellus Shale — making it one of the lowest-cost producers in North American E&amp;P [1][2]. Pipeline (1/2): 2026 production guidance of 770-810 MBoe/day and 2.78-2.93 Bcf/day natural gas provides operational visibility, with the Devon merger targeting $1B/year in synergies by year-end 2027 [1]. R&amp;D Intensity (0/1): E&amp;P companies have minimal R&amp;D spend; Coterra invests in operational technology but not at levels that distinguish it from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Coterra's corporate purpose is generic for an E&amp;P company — focused on delivering returns to shareholders through responsible energy development. There is no articulated vision of a better future beyond producing hydrocarbons efficiently [2]. Community Impact (1/2): Coterra operates community programs in its operating basins and achieved a 52% reduction in Scope 1 GHG emission intensity and 86% reduction in methane intensity from 2019-2023 [3]. However, the Dimock, Pennsylvania water contamination case — where Coterra pleaded no contest to criminal charges and paid $16M to create a public water system for affected residents — significantly undermines community trust claims [4]. Employee Retention (1/2): CEO Tom Jorden's 40+ year career in E&amp;P and his 2025 Distinguished Leadership in Energy Award from the Institute for Energy Law provide leadership stability [2]. The 1,075-person workforce is lean and efficient. Insider Buying (2/2): Tom Jorden has been a notable buyer of CTRA shares, demonstrating personal conviction in the company's value; his equity alignment is strong for an E&amp;P CEO.</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Coterra's financial profile is exceptionally strong for an E&amp;P company. D/E of 27.0% is among the lowest in the sector, reflecting disciplined capital management [5]. Forward P/E of 12.0x is highly attractive for a company with 23.4% revenue growth YoY and a 2.55% dividend yield. Profit margin of 24.6% is strong for E&amp;P, demonstrating the quality of Coterra's low-cost acreage positions. ROE of 12.3% is below the 15% target but healthy for the sector given conservative leverage. Revenue growth of 23.4% YoY with an estimated 5-year CAGR of ~16.9% (reflecting the Cabot-Cimarex combination and commodity recovery) is strong [1]. Payout ratio of 39.3% with 35+ consecutive years of dividend payments demonstrates commitment to shareholder returns. Liquidity floor cleared at $407M daily traded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Coterra under Tom Jorden shows elements of infinite game thinking — the conservative balance sheet, 35+ year dividend history, and commitment to low-cost operations suggest a company playing to endure through commodity cycles. However, the E&amp;P industry's inherent focus on quarterly production targets and commodity prices, combined with the Dimock environmental controversy, temper the infinite game assessment. The Devon merger represents strategic scale-building rather than purpose-driven transformation.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Coterra lacks a distinctive Just Cause — the company exists to produce oil and gas efficiently and return capital to shareholders, which is a finite objective rather than a vision of a better future [2]. While energy production serves a societal need, Coterra has not articulated why its approach to energy development serves a purpose beyond profit. The Dimock water contamination case (criminal no-contest plea, $16M settlement) creates tension with any implicit claim of responsible development [4]. (1 point)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Coterra's lean 1,075-person organization emphasizes 'progress over comfort' and open dialogue between employees and leadership [2]. The successful integration of Cabot and Cimarex cultures following the 2021 merger suggests organizational capability. CEO Jorden's 40+ year industry tenure provides leadership continuity. However, no specific evidence of exceptional trust or empowerment beyond industry norms. (1 point)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Coterra competes with Pioneer (now part of ExxonMobil), Devon, and Diamondback in the Permian, and with EQT in the Marcellus. The pending Devon merger itself reflects a 'bigger is better' competitive mindset focused on scale advantages rather than learning from rivals' strengths. E&amp;P competitive language tends toward resource accumulation and cost leadership rather than improvement-driven rivalry. (0 points)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2021 Cabot-Cimarex merger diversified Coterra from a single-basin gas producer (Cabot in Marcellus) into a multi-basin oil and gas company, representing meaningful strategic flexibility [1][2]. The methane intensity reduction of 86% from 2019-2023 and field electrification program show environmental adaptation. However, these are incremental shifts within the same industry rather than transformative reinventions. (1 point)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Coterra rebuffed an activist call for leadership overhaul in November 2025, defending its long-term strategy against short-term pressure — a direct example of courage to maintain strategic direction [2]. The company maintained capital discipline and a conservative balance sheet (D/E 27%) during periods when peers were leveraging up for growth, prioritizing financial resilience over production growth. (1 point)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Coterra Energy is a premier low-cost E&amp;P operator with top-tier acreage in the Delaware Basin (Permian) and Marcellus Shale, generating strong cash flows from a diversified oil/gas production mix. Full-year 2025 revenue of $7.64B (up 23.4% YoY) with net income of $1.72B and profit margins of 24.6% demonstrate the quality of Coterra's asset base [1]. At 12.0x forward P/E with a 2.55% dividend yield, D/E of just 27%, and 35+ consecutive years of dividend payments, CTRA offers attractive income with valuation support from low-cost operations. The pending Devon Energy merger targets $1B/year in pre-tax synergies by year-end 2027, creating a 'super-independent' E&amp;P company with enhanced scale and operational efficiency [1]. 2026 production guidance of 770-810 MBoe/day provides near-term visibility.</w:t>
      </w:r>
    </w:p>
    <w:p>
      <w:pPr>
        <w:spacing w:after="120"/>
      </w:pPr>
      <w:r>
        <w:rPr>
          <w:rFonts w:ascii="Calibri" w:hAnsi="Calibri"/>
          <w:b w:val="0"/>
          <w:color w:val="3A4A28"/>
          <w:sz w:val="20"/>
        </w:rPr>
        <w:t>The bear case centers on commodity price exposure, merger execution risk, and environmental liabilities. Coterra's revenue is entirely driven by oil and natural gas prices — a sustained decline in commodity prices would compress margins despite low-cost operations. The Devon merger carries significant integration risk; achieving $1B in annual synergies requires flawless execution across two distinct corporate cultures, and E&amp;P mega-mergers have a mixed track record. ROE of 12.3% is below the 15% target, reflecting the capital-intensive nature of E&amp;P even with low leverage. The Dimock, Pennsylvania water contamination case (criminal no-contest plea, $16M settlement) and resumption of drilling in the affected township create ongoing reputational and legal risk [4]. A 74% shareholder vote in favor of a methane disclosure resolution signals investor concern about emissions transparency, and actual emissions may be 50-100% higher than reported figures [4]. Innovation score of 4 reflects the limited differentiation available in commodity E&amp;P — Coterra is an excellent operator but not an innovator.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Devon Energy merger completion creating a 'super-independent' E&amp;P company with $1B/year in targeted pre-tax synergies by year-end 2027 and enhanced Permian Basin scale [1]</w:t>
      </w:r>
    </w:p>
    <w:p>
      <w:pPr>
        <w:spacing w:before="40" w:after="40"/>
        <w:ind w:left="283"/>
      </w:pPr>
      <w:r>
        <w:rPr>
          <w:rFonts w:ascii="Calibri" w:hAnsi="Calibri"/>
          <w:b/>
          <w:color w:val="4A6B25"/>
          <w:sz w:val="20"/>
        </w:rPr>
        <w:t xml:space="preserve">2. </w:t>
      </w:r>
      <w:r>
        <w:rPr>
          <w:rFonts w:ascii="Calibri" w:hAnsi="Calibri"/>
          <w:b w:val="0"/>
          <w:color w:val="3A4A28"/>
          <w:sz w:val="20"/>
        </w:rPr>
        <w:t>Natural gas demand growth from AI data center power generation and LNG export capacity additions, supporting higher gas prices that benefit Coterra's 50% gas production mix [1]</w:t>
      </w:r>
    </w:p>
    <w:p>
      <w:pPr>
        <w:spacing w:before="40" w:after="40"/>
        <w:ind w:left="283"/>
      </w:pPr>
      <w:r>
        <w:rPr>
          <w:rFonts w:ascii="Calibri" w:hAnsi="Calibri"/>
          <w:b/>
          <w:color w:val="4A6B25"/>
          <w:sz w:val="20"/>
        </w:rPr>
        <w:t xml:space="preserve">3. </w:t>
      </w:r>
      <w:r>
        <w:rPr>
          <w:rFonts w:ascii="Calibri" w:hAnsi="Calibri"/>
          <w:b w:val="0"/>
          <w:color w:val="3A4A28"/>
          <w:sz w:val="20"/>
        </w:rPr>
        <w:t>2026 production guidance of 770-810 MBoe/day with capital spending modestly down YoY, demonstrating improving capital efficiency from operational optimization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Commodity price exposure — oil and natural gas price declines would directly compress margins and cash flow, with no hedging or diversification beyond hydrocarbon production [1]</w:t>
      </w:r>
    </w:p>
    <w:p>
      <w:pPr>
        <w:spacing w:before="40" w:after="40"/>
        <w:ind w:left="283"/>
      </w:pPr>
      <w:r>
        <w:rPr>
          <w:rFonts w:ascii="Calibri" w:hAnsi="Calibri"/>
          <w:b/>
          <w:color w:val="4A6B25"/>
          <w:sz w:val="20"/>
        </w:rPr>
        <w:t xml:space="preserve">2. </w:t>
      </w:r>
      <w:r>
        <w:rPr>
          <w:rFonts w:ascii="Calibri" w:hAnsi="Calibri"/>
          <w:b w:val="0"/>
          <w:color w:val="3A4A28"/>
          <w:sz w:val="20"/>
        </w:rPr>
        <w:t>Devon merger integration risk — achieving $1B/year in synergies requires combining two corporate cultures and operational teams; failure to deliver would undermine the strategic rationale [1]</w:t>
      </w:r>
    </w:p>
    <w:p>
      <w:pPr>
        <w:spacing w:before="40" w:after="40"/>
        <w:ind w:left="283"/>
      </w:pPr>
      <w:r>
        <w:rPr>
          <w:rFonts w:ascii="Calibri" w:hAnsi="Calibri"/>
          <w:b/>
          <w:color w:val="4A6B25"/>
          <w:sz w:val="20"/>
        </w:rPr>
        <w:t xml:space="preserve">3. </w:t>
      </w:r>
      <w:r>
        <w:rPr>
          <w:rFonts w:ascii="Calibri" w:hAnsi="Calibri"/>
          <w:b w:val="0"/>
          <w:color w:val="3A4A28"/>
          <w:sz w:val="20"/>
        </w:rPr>
        <w:t>Environmental and legal liability — the Dimock, PA water contamination case (criminal no-contest plea) and 74% shareholder methane disclosure vote signal ongoing regulatory, reputational, and litigation risk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Coterra's core business of extracting oil and natural gas from underground formations is structurally immune to AI disruption — AI cannot drill wells, fracture rock, or transport hydrocarbons [1]. The physical nature of E&amp;P operations creates an impenetrable moat against AI substitution. Furthermore, AI data centers are massive consumers of electricity, much of which is generated from natural gas, making Coterra an indirect beneficiary of AI buildout — the pending Devon merger explicitly references the 'AI era' as a demand driver for natural gas [1][2]. AI Opportunity (0/1): Coterra does not generate revenue from AI products or services. AI is a modest operational efficiency tool for leak detection and production optimization, not a revenue driver.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Coterra Energy Full-Year 2025 Results and 2026 Guidance — $7.64B revenue, $1.72B net income, Devon merger announcement, February 2026</w:t>
      </w:r>
    </w:p>
    <w:p>
      <w:pPr>
        <w:spacing w:before="20" w:after="20"/>
        <w:ind w:left="170"/>
      </w:pPr>
      <w:r>
        <w:rPr>
          <w:rFonts w:ascii="Calibri" w:hAnsi="Calibri"/>
          <w:b/>
          <w:color w:val="4A6B25"/>
          <w:sz w:val="15"/>
        </w:rPr>
        <w:t xml:space="preserve">2. </w:t>
      </w:r>
      <w:r>
        <w:rPr>
          <w:rFonts w:ascii="Calibri" w:hAnsi="Calibri"/>
          <w:b w:val="0"/>
          <w:color w:val="3A4A28"/>
          <w:sz w:val="17"/>
        </w:rPr>
        <w:t>Coterra Energy corporate website — management team, Tom Jorden leadership, corporate culture, activist rebuff November 2025</w:t>
      </w:r>
    </w:p>
    <w:p>
      <w:pPr>
        <w:spacing w:before="20" w:after="20"/>
        <w:ind w:left="170"/>
      </w:pPr>
      <w:r>
        <w:rPr>
          <w:rFonts w:ascii="Calibri" w:hAnsi="Calibri"/>
          <w:b/>
          <w:color w:val="4A6B25"/>
          <w:sz w:val="15"/>
        </w:rPr>
        <w:t xml:space="preserve">3. </w:t>
      </w:r>
      <w:r>
        <w:rPr>
          <w:rFonts w:ascii="Calibri" w:hAnsi="Calibri"/>
          <w:b w:val="0"/>
          <w:color w:val="3A4A28"/>
          <w:sz w:val="17"/>
        </w:rPr>
        <w:t>Coterra Energy 2024 Sustainability Report — 52% Scope 1 GHG reduction, 86% methane intensity reduction, field electrification programs</w:t>
      </w:r>
    </w:p>
    <w:p>
      <w:pPr>
        <w:spacing w:before="20" w:after="20"/>
        <w:ind w:left="170"/>
      </w:pPr>
      <w:r>
        <w:rPr>
          <w:rFonts w:ascii="Calibri" w:hAnsi="Calibri"/>
          <w:b/>
          <w:color w:val="4A6B25"/>
          <w:sz w:val="15"/>
        </w:rPr>
        <w:t xml:space="preserve">4. </w:t>
      </w:r>
      <w:r>
        <w:rPr>
          <w:rFonts w:ascii="Calibri" w:hAnsi="Calibri"/>
          <w:b w:val="0"/>
          <w:color w:val="3A4A28"/>
          <w:sz w:val="17"/>
        </w:rPr>
        <w:t>Bay Journal / EDF — Dimock PA water contamination case, criminal no-contest plea, $16M settlement; methane disclosure shareholder resolution (74% vote)</w:t>
      </w:r>
    </w:p>
    <w:p>
      <w:pPr>
        <w:spacing w:before="20" w:after="20"/>
        <w:ind w:left="170"/>
      </w:pPr>
      <w:r>
        <w:rPr>
          <w:rFonts w:ascii="Calibri" w:hAnsi="Calibri"/>
          <w:b/>
          <w:color w:val="4A6B25"/>
          <w:sz w:val="15"/>
        </w:rPr>
        <w:t xml:space="preserve">5. </w:t>
      </w:r>
      <w:r>
        <w:rPr>
          <w:rFonts w:ascii="Calibri" w:hAnsi="Calibri"/>
          <w:b w:val="0"/>
          <w:color w:val="3A4A28"/>
          <w:sz w:val="17"/>
        </w:rPr>
        <w:t>Yahoo Finance — CTRA key statistics and financial data,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