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CTRE</w:t>
      </w:r>
      <w:r>
        <w:rPr>
          <w:rFonts w:ascii="Calibri" w:hAnsi="Calibri"/>
          <w:b/>
          <w:color w:val="1A2010"/>
          <w:sz w:val="40"/>
        </w:rPr>
        <w:t xml:space="preserve">  CareTrust REIT, Inc.</w:t>
      </w:r>
    </w:p>
    <w:p>
      <w:pPr>
        <w:spacing w:after="120"/>
      </w:pPr>
      <w:r>
        <w:rPr>
          <w:rFonts w:ascii="Calibri" w:hAnsi="Calibri"/>
          <w:b/>
          <w:color w:val="6E8450"/>
          <w:sz w:val="18"/>
        </w:rPr>
        <w:t>DIVIDEND SLEEVE · 2026-04-10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CareTrust REIT is a self-administered, publicly traded healthcare REIT that owns, acquires, finances, and leases skilled nursing facilities, senior housing communities, and other healthcare-related properties. As of December 31, 2025, the company owned 407 properties with 37,628 operational beds and units across 32 U.S. states and the United Kingdom, leased to independent operators under triple-net leases.</w:t>
      </w:r>
    </w:p>
    <w:p>
      <w:r>
        <w:rPr>
          <w:rFonts w:ascii="Calibri" w:hAnsi="Calibri"/>
          <w:b/>
          <w:color w:val="6E8450"/>
          <w:sz w:val="18"/>
        </w:rPr>
        <w:t>43 Employees · https://www.caretrustreit.com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CareTrust deployed $3.3B in acquisitions over 2024-2025 at an average 8.6% yield, nearly doubling its portfolio from ~220 to 407 properties while entering the U.K. market and SHOP (senior housing operating partnerships) sector [1][2]. Revenue grew 62% YoY to $369.4M in 2025, with net income nearly doubling to $320.5M [1]. AI Deployment (0/2): No evidence of AI deployment in operations, underwriting, or tenant management; CareTrust operates a traditional REIT model with 43 employees focused on acquisitions and asset management [2]. Market Share (1/2): CareTrust has become a meaningful healthcare REIT player with an $8.8B market cap and 407 properties, though it remains smaller than sector leaders like Welltower and Ventas [1]. Pipeline (1/2): Management cited 'three fully operational growth engines' (SNF, U.K. care homes, SHOP) with a ~$600M acquisition pipeline and 2026 guidance of $1.45-$1.50 net income per share ($1.90-$1.95 normalized FFO) [1]. R&amp;D Intensity (1/1): Continuous investment in deal sourcing infrastructure and operator relationship development; CareTrust's underwriting discipline (8.6% acquisition yields) represents the REIT equivalent of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CareTrust's purpose centers on partnering with operators who share 'a passion for innovative service and quality patient and resident care,' connecting the REIT's capital deployment to healthcare outcomes for elderly and skilled nursing populations [2]. The mission is clear but not deeply distinctive from healthcare REIT peers. Community Impact (2/2): CareTrust's 407 properties with 37,628 beds directly serve vulnerable elderly and skilled nursing populations across 32 states; the company funds environmental improvement projects through its tenant incentive program and integrates ESG into acquisitions [3][4]. Employee Retention (1/2): Achieved 100% employee retention in 2022 with an average score of 91 on the Strata Intel Employee Wellness Assessment — exceptional for a 43-person company [4]. Insider Buying (0/2): No specific evidence of meaningful insider buying found in recent search results; CEO Dave Sedgwick has been in role since February 2021 with equity exposure but no notable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CareTrust demonstrates exceptional financial strength for a healthcare REIT. Revenue surged 62% YoY to $369.4M in 2025 driven by $1.8B in acquisitions at 8.6% average yields, with net income of $320.5M (96% increase) [1]. Profit margin of 67.3% reflects the high-margin triple-net lease model. D/E of 72.0% is disciplined for a REIT with leverage at just 0.7x [1]. Forward P/E of 23.2 is reasonable for a healthcare REIT with 60%+ revenue growth. ROE of 9.2% is moderate, typical for equity-heavy REITs. Dividend yield of 3.96% with 12 consecutive years of payments and a 5yr CAGR of ~8% supports income quality, though the 85% payout ratio is elevated [5]. Liquidity floor cleared at $107.7M daily dollar volume (2.72M avg vol × $39.42) [5]. The 3yr revenue CAGR of 25.3% reflects transformational portfolio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CareTrust exhibits several infinite game characteristics — patient capital deployment focused on long-term operator partnerships, expansion into new geographies and property types, and a mission connected to healthcare for aging populations. However, the company's relatively short history as an independent REIT (spun off from Ensign Group in 2014) limits the validation period.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CareTrust's purpose — providing capital to operators who deliver quality care to elderly and skilled nursing populations — connects the REIT's growth to a genuine societal need as the U.S. aging demographic accelerates [2]. CEO Sedgwick's background at The Ensign Group (2001-2014) demonstrates deep commitment to healthcare operations. The cause is genuine but not yet validated through multiple decades of independent execution.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100% employee retention in 2022 with an average Strata Intel Employee Wellness score of 91 out of 100 is exceptional evidence of a high-trust environment [4]. CEO Sedgwick's 5-year tenure and the company's 43-person team size create intimacy and accountability. The operator-centric culture — partnering rather than dictating to tenants — extends trust beyond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CareTrust management acknowledging worthy rivals like Welltower, Ventas, or Sabra Healthcare in a constructive manner. The company's competitive language focuses on its own acquisition discipline and operator relationships rather than learning from larger competitors'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CareTrust has expanded from a pure-play U.S. skilled nursing REIT into three growth platforms: domestic SNF/senior housing, U.K. care homes (entered 2025), and the SHOP model with its first operating partnership deal [1]. This geographic and operational diversification demonstrates meaningful strategic evolution, though it remains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enter the U.K. market and SHOP sector while maintaining acquisition discipline (8.6% average yields) shows willingness to expand beyond the comfort zone [1]. Keeping leverage at just 0.7x while deploying $3.3B over two years demonstrates restraint that many acquisition-driven REITs lack. However, no evidence of sacrificing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CareTrust REIT has transformed into a premier healthcare REIT through $3.3B in acquisitions over 2024-2025 at disciplined 8.6% average yields, growing its portfolio to 407 properties with 37,628 beds across 32 states and the U.K. [1]. Revenue surged 62% to $369.4M in 2025 with net income nearly doubling to $320.5M, while leverage remains conservative at 0.7x [1]. The 2026 guidance of $1.90-$1.95 normalized FFO per share (~9% growth) with a ~$600M acquisition pipeline provides continued growth visibility. The 3.96% dividend yield with 8% 5-year growth CAGR and 12 consecutive years of payments offers reliable income backed by secular aging demographics and essential healthcare real estate [5]. ISS ESG Prime status reflects governance quality [4].</w:t>
      </w:r>
    </w:p>
    <w:p>
      <w:pPr>
        <w:spacing w:after="120"/>
      </w:pPr>
      <w:r>
        <w:rPr>
          <w:rFonts w:ascii="Calibri" w:hAnsi="Calibri"/>
          <w:b w:val="0"/>
          <w:color w:val="3A4A28"/>
          <w:sz w:val="20"/>
        </w:rPr>
        <w:t>The bear case centers on acquisition integration risk and sector-specific vulnerabilities. CareTrust's rapid portfolio expansion ($3.3B deployed in two years) creates operator concentration and integration risk — the company's 43-person team must manage relationships with operators across 407 properties in 32 states and the U.K. [1][2]. The 85% payout ratio leaves limited cushion for dividend sustainability if tenant defaults increase. Skilled nursing facilities face persistent staffing shortages that could pressure operator coverage ratios. The U.K. care home entry introduces currency risk and unfamiliar regulatory environments. At 23x forward P/E ($39.42), the stock prices in continued growth execution — any acquisition stumble or operator distress could compress the multiple. Rising interest rates would increase borrowing costs and reduce cap rate spreads on new acquisitions, potentially slowing the growth engine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~$600M identified acquisition pipeline with three operational growth engines (U.S. SNF, U.K. care homes, SHOP) driving continued portfolio expansion at disciplined yields [1]</w:t>
      </w:r>
    </w:p>
    <w:p>
      <w:pPr>
        <w:spacing w:before="40" w:after="40"/>
        <w:ind w:left="283"/>
      </w:pPr>
      <w:r>
        <w:rPr>
          <w:rFonts w:ascii="Calibri" w:hAnsi="Calibri"/>
          <w:b/>
          <w:color w:val="4A6B25"/>
          <w:sz w:val="20"/>
        </w:rPr>
        <w:t xml:space="preserve">2. </w:t>
      </w:r>
      <w:r>
        <w:rPr>
          <w:rFonts w:ascii="Calibri" w:hAnsi="Calibri"/>
          <w:b w:val="0"/>
          <w:color w:val="3A4A28"/>
          <w:sz w:val="20"/>
        </w:rPr>
        <w:t>2026 normalized FFO guidance of $1.90-$1.95 per share represents ~9% growth, with the most recent quarterly dividend increase to $0.39/quarter (16.4% increase) signaling management confidence [1][5]</w:t>
      </w:r>
    </w:p>
    <w:p>
      <w:pPr>
        <w:spacing w:before="40" w:after="40"/>
        <w:ind w:left="283"/>
      </w:pPr>
      <w:r>
        <w:rPr>
          <w:rFonts w:ascii="Calibri" w:hAnsi="Calibri"/>
          <w:b/>
          <w:color w:val="4A6B25"/>
          <w:sz w:val="20"/>
        </w:rPr>
        <w:t xml:space="preserve">3. </w:t>
      </w:r>
      <w:r>
        <w:rPr>
          <w:rFonts w:ascii="Calibri" w:hAnsi="Calibri"/>
          <w:b w:val="0"/>
          <w:color w:val="3A4A28"/>
          <w:sz w:val="20"/>
        </w:rPr>
        <w:t>Secular aging demographics — U.S. 65+ population growing ~3% annually — creating sustained demand for skilled nursing and senior housing real estate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Operator concentration and integration risk from rapid $3.3B portfolio expansion — tenant defaults or coverage ratio deterioration across 407 properties could impair rental income [1]</w:t>
      </w:r>
    </w:p>
    <w:p>
      <w:pPr>
        <w:spacing w:before="40" w:after="40"/>
        <w:ind w:left="283"/>
      </w:pPr>
      <w:r>
        <w:rPr>
          <w:rFonts w:ascii="Calibri" w:hAnsi="Calibri"/>
          <w:b/>
          <w:color w:val="4A6B25"/>
          <w:sz w:val="20"/>
        </w:rPr>
        <w:t xml:space="preserve">2. </w:t>
      </w:r>
      <w:r>
        <w:rPr>
          <w:rFonts w:ascii="Calibri" w:hAnsi="Calibri"/>
          <w:b w:val="0"/>
          <w:color w:val="3A4A28"/>
          <w:sz w:val="20"/>
        </w:rPr>
        <w:t>Skilled nursing staffing shortages and rising labor costs pressuring operator economics and lease coverage ratios across the portfolio</w:t>
      </w:r>
    </w:p>
    <w:p>
      <w:pPr>
        <w:spacing w:before="40" w:after="40"/>
        <w:ind w:left="283"/>
      </w:pPr>
      <w:r>
        <w:rPr>
          <w:rFonts w:ascii="Calibri" w:hAnsi="Calibri"/>
          <w:b/>
          <w:color w:val="4A6B25"/>
          <w:sz w:val="20"/>
        </w:rPr>
        <w:t xml:space="preserve">3. </w:t>
      </w:r>
      <w:r>
        <w:rPr>
          <w:rFonts w:ascii="Calibri" w:hAnsi="Calibri"/>
          <w:b w:val="0"/>
          <w:color w:val="3A4A28"/>
          <w:sz w:val="20"/>
        </w:rPr>
        <w:t>U.K. care home exposure introduces currency risk, regulatory unfamiliarity, and geographic management complexity for a 43-person team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CareTrust's core business — owning physical healthcare real estate leased to operators under triple-net leases — is structurally immune to AI disruption [2]. Skilled nursing facilities, senior housing communities, and care homes require physical buildings, human caregiving, and regulatory-compliant environments that AI cannot replicate or substitute. The aging U.S. population (65+ demographic growing ~3% annually) creates secular demand for healthcare real estate that is independent of technology cycles. Triple-net lease structures further insulate CareTrust, as tenants bear operating responsibility. AI Opportunity (0/1): No evidence of AI-generated revenue. CareTrust's 43-person team may use technology for underwriting and deal sourcing, but this does not constitute meaningful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CareTrust REIT Q4 &amp; Full Year 2025 Earnings Release — $369.4M revenue, $320.5M net income, $3.3B deployed, February 2026</w:t>
      </w:r>
    </w:p>
    <w:p>
      <w:pPr>
        <w:spacing w:before="20" w:after="20"/>
        <w:ind w:left="170"/>
      </w:pPr>
      <w:r>
        <w:rPr>
          <w:rFonts w:ascii="Calibri" w:hAnsi="Calibri"/>
          <w:b/>
          <w:color w:val="4A6B25"/>
          <w:sz w:val="15"/>
        </w:rPr>
        <w:t xml:space="preserve">2. </w:t>
      </w:r>
      <w:r>
        <w:rPr>
          <w:rFonts w:ascii="Calibri" w:hAnsi="Calibri"/>
          <w:b w:val="0"/>
          <w:color w:val="3A4A28"/>
          <w:sz w:val="17"/>
        </w:rPr>
        <w:t>CareTrust REIT corporate website and Nareit interview — leadership, strategy, operator-centric culture,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Investing.com — CareTrust REIT 2026 outlook analysis and growth projections</w:t>
      </w:r>
    </w:p>
    <w:p>
      <w:pPr>
        <w:spacing w:before="20" w:after="20"/>
        <w:ind w:left="170"/>
      </w:pPr>
      <w:r>
        <w:rPr>
          <w:rFonts w:ascii="Calibri" w:hAnsi="Calibri"/>
          <w:b/>
          <w:color w:val="4A6B25"/>
          <w:sz w:val="15"/>
        </w:rPr>
        <w:t xml:space="preserve">4. </w:t>
      </w:r>
      <w:r>
        <w:rPr>
          <w:rFonts w:ascii="Calibri" w:hAnsi="Calibri"/>
          <w:b w:val="0"/>
          <w:color w:val="3A4A28"/>
          <w:sz w:val="17"/>
        </w:rPr>
        <w:t>CareTrust REIT ISS ESG Prime Status achievement and corporate responsibility report,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CTRE (CareTrust REIT),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