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CTVA</w:t>
      </w:r>
      <w:r>
        <w:rPr>
          <w:rFonts w:ascii="Calibri" w:hAnsi="Calibri"/>
          <w:b/>
          <w:color w:val="1A2010"/>
          <w:sz w:val="40"/>
        </w:rPr>
        <w:t xml:space="preserve">  Corteva, Inc.</w:t>
      </w:r>
    </w:p>
    <w:p>
      <w:pPr>
        <w:spacing w:after="120"/>
      </w:pPr>
      <w:r>
        <w:rPr>
          <w:rFonts w:ascii="Calibri" w:hAnsi="Calibri"/>
          <w:b/>
          <w:color w:val="6E8450"/>
          <w:sz w:val="18"/>
        </w:rPr>
        <w:t>GROWTH SLEEVE · 2026-04-02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Corteva operates through Seed and Crop Protection segments, providing advanced germplasm, trait technologies, herbicides, insecticides, and digital agriculture solutions globally. Spun off from DowDuPont in 2019, the company is planning to separate into two independent businesses by Q4 2026. Founded in 1802 and headquartered in Indianapolis, Indiana.</w:t>
      </w:r>
    </w:p>
    <w:p>
      <w:r>
        <w:rPr>
          <w:rFonts w:ascii="Calibri" w:hAnsi="Calibri"/>
          <w:b/>
          <w:color w:val="6E8450"/>
          <w:sz w:val="18"/>
        </w:rPr>
        <w:t>21,500 Employees · https://www.corteva.com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Corteva delivered record 2025 results with operating EBITDA up 14% to $3.85B and margins expanding 200+ bps to above 22%, demonstrating strong execution post-DowDuPont separation [1]. The Bayer licensing agreement accelerates royalty neutrality to 2026, two years ahead of schedule, contributing ~$1B aggregate earnings upside over the next decade [1]. AI Deployment (1/2): Corteva leverages AI across its breeding pipeline with a 'digital twin' of its seed business combining AI, mathematical optimization, and mechanistic modeling; over 12,000 devices generate terabytes of data daily and 80M+ drone observations annually, saving $10M+ in field research costs [2]. Market Share (2/2): Corteva is the #2 global seed company and a top-3 crop protection company, with Conkesta soybean technology and Enlist corn platform driving share gains in key markets [1][2]. Pipeline (2/2): Planned business separation by Q4 2026, Conkesta and corn licensing ramp contributing $120M royalty improvement in 2026, and 2026 EBITDA guidance of $4.0-4.2B (7% growth at midpoint) [1]. R&amp;D Intensity (1/1): R&amp;D spending as a percentage of revenue is above agricultural industry average, with Corteva Catalyst innovation hub partnering with startups on genome editing, biologicals, and decision science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Corteva's purpose — 'to enrich the lives of those who produce and those who consume, ensuring progress for generations to come' — is clear and identifies its stakeholders but lacks the distinctiveness or decades of validation that would elevate it beyond functional [3]. Community Impact (1/2): General corporate philanthropy and sustainability commitments including goals to help farmers be more productive and preserve biodiversity, but no standout programs with specific dollar amounts cited [3]. Employee Retention (1/2): Glassdoor rating of 4.1/5 with 82% recommending the company, though negative reviews cite 'toxic culture' and 'blame and finger pointing' from leadership, suggesting mixed internal experience [2]. Insider Buying (0/2): No evidence of meaningful net insider buying by CEO Chuck Magro or other executives in the last 12 months; Magro's $17.5M compensation is heavily stock-option weighted but this reflects grants not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Corteva's balance sheet is conservatively managed with D/E of just 12.3% against $4.5B cash and $3.0B debt [4]. However, profitability metrics lag: ROE of 4.97% and profit margin of 6.3% reflect the capital-intensive agricultural inputs business [4]. Revenue declined 1.7% YoY in Q4 2025 though full-year operating EBITDA grew 14% to a record $3.85B [1]. Forward P/E of 20.7x is reasonable given 7% guided EBITDA growth, and PEG of 1.86 reflects moderate growth expectations [4]. Free cash flow of $2.9B is strong. Liquidity floor easily cleared: 4.24M avg volume × $83.81 = $355M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Corteva under Chuck Magro is executing well operationally — record EBITDA, margin expansion, and a bold decision to separate into two companies. However, the company's purpose remains functional rather than transcendent, and Glassdoor reviews suggest the internal culture has not fully coalesced four years after the DowDuPont separation. The separation itself could be either existential flexibility or financial engineering — the outcome will reveal the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Corteva's purpose of enriching producers and consumers 'for generations to come' is sincere but reads as a functional agricultural company mission rather than a Just Cause that inspires sacrifice [3]. It has not been tested through multi-decade consistency — the company has only existed independently since 2019, making it difficult to evaluate whether the purpose drives strategic decisions or merely decorates annual reports.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4.1/5 rating with 82% recommendation rate suggests adequate trust, but negative reviews describing 'toxic culture' and blame-oriented leadership indicate the Circle of Safety is incomplete [2]. Average management tenure of 3.6 years reflects the post-separation rebuilding phase. The planned separation creates additional organizational uncertainty that may erode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Corteva explicitly acknowledges Bayer and Syngenta as worthy competitors and has structured the Bayer licensing agreement as a collaborative arrangement that accelerates both companies' technology timelines [1][2]. CEO Magro's chairmanship of CropLife International demonstrates industry-wide thinking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Q4 2026 separation into two independent companies — Seed and Crop Protection — represents meaningful strategic flexibility, though it remains to be seen whether this is purpose-driven transformation or financial engineering to unlock shareholder value [1]. Corteva has also pivoted away from controversial products like chlorpyrifos and Enlist Duo under regulatory and social pressure, showing willingness to abandon profitable but misaligned businesses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Bayer licensing agreement and planned business separation demonstrate willingness to make bold strategic moves under Magro's leadership [1]. Exiting chlorpyrifos production — once a core product — showed courage to walk away from revenue that conflicted with the company's direction, though this was partly forced by regulatory action [3]. The $200M annual productivity savings target shows operational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Corteva delivered record 2025 results with operating EBITDA of $3.85B (up 14%), margins above 22%, and free cash flow of $2.9B, demonstrating strong execution in a challenging agricultural market [1]. The 2026 guide of $4.0-4.2B EBITDA (7% growth) is underpinned by Conkesta/corn licensing ramp ($120M royalty improvement), mid-single-digit Crop Protection volume growth, and $200M productivity savings [1]. The Bayer licensing agreement contributes ~$1B aggregate earnings upside over the next decade and accelerates royalty neutrality to 2026 [1]. At 20.7x forward P/E with a pristine balance sheet (D/E 12%, $4.5B cash), Corteva offers defensive growth exposure to the agricultural cycle with improving earnings quality.</w:t>
      </w:r>
    </w:p>
    <w:p>
      <w:pPr>
        <w:spacing w:after="120"/>
      </w:pPr>
      <w:r>
        <w:rPr>
          <w:rFonts w:ascii="Calibri" w:hAnsi="Calibri"/>
          <w:b w:val="0"/>
          <w:color w:val="3A4A28"/>
          <w:sz w:val="20"/>
        </w:rPr>
        <w:t>The bear case centers on legacy liabilities and execution risk. Corteva's PFAS exposure — including a $2B New Jersey settlement shared with DuPont and Chemours — creates ongoing litigation tail risk, and the Enlist Duo cancellation removes a key crop protection product [3]. Profit margin of 6.3% and ROE of 4.97% remain below investment-grade thresholds, suggesting the business model generates modest returns on capital despite strong EBITDA [4]. The planned Q4 2026 separation into two companies introduces execution risk, potential dissynergies, and could delay AI capability rollout as data and digital platforms are split [2]. Revenue declined 1.7% YoY in Q4 2025, and the trailing P/E of 47.9x reflects depressed earnings that may not fully recover. FTC antitrust investigation into distributor practices and ongoing chlorpyrifos litigation add regulatory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Planned separation into two independent companies by Q4 2026, potentially unlocking value as Seed (higher-margin, technology-driven) trades at a premium multiple independently [1]</w:t>
      </w:r>
    </w:p>
    <w:p>
      <w:pPr>
        <w:spacing w:before="40" w:after="40"/>
        <w:ind w:left="283"/>
      </w:pPr>
      <w:r>
        <w:rPr>
          <w:rFonts w:ascii="Calibri" w:hAnsi="Calibri"/>
          <w:b/>
          <w:color w:val="4A6B25"/>
          <w:sz w:val="20"/>
        </w:rPr>
        <w:t xml:space="preserve">2. </w:t>
      </w:r>
      <w:r>
        <w:rPr>
          <w:rFonts w:ascii="Calibri" w:hAnsi="Calibri"/>
          <w:b w:val="0"/>
          <w:color w:val="3A4A28"/>
          <w:sz w:val="20"/>
        </w:rPr>
        <w:t>Royalty neutrality achievement in 2026 via Bayer agreement, eliminating a ~$120M annual drag and improving Seed segment profitability [1]</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above 22% as Conkesta soybean technology ramps and $200M productivity savings flow through, driving guided 7% EBITDA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legacy liability — Corteva's 14.5% share of the $2B+ New Jersey settlement and exposure to additional PFAS lawsuits across multiple states creates material litigation tail risk [3]</w:t>
      </w:r>
    </w:p>
    <w:p>
      <w:pPr>
        <w:spacing w:before="40" w:after="40"/>
        <w:ind w:left="283"/>
      </w:pPr>
      <w:r>
        <w:rPr>
          <w:rFonts w:ascii="Calibri" w:hAnsi="Calibri"/>
          <w:b/>
          <w:color w:val="4A6B25"/>
          <w:sz w:val="20"/>
        </w:rPr>
        <w:t xml:space="preserve">2. </w:t>
      </w:r>
      <w:r>
        <w:rPr>
          <w:rFonts w:ascii="Calibri" w:hAnsi="Calibri"/>
          <w:b w:val="0"/>
          <w:color w:val="3A4A28"/>
          <w:sz w:val="20"/>
        </w:rPr>
        <w:t>Business separation execution risk — splitting AI/digital platforms, supply chains, and corporate functions across two entities could erode operational efficiency and delay technology rollout [2]</w:t>
      </w:r>
    </w:p>
    <w:p>
      <w:pPr>
        <w:spacing w:before="40" w:after="40"/>
        <w:ind w:left="283"/>
      </w:pPr>
      <w:r>
        <w:rPr>
          <w:rFonts w:ascii="Calibri" w:hAnsi="Calibri"/>
          <w:b/>
          <w:color w:val="4A6B25"/>
          <w:sz w:val="20"/>
        </w:rPr>
        <w:t xml:space="preserve">3. </w:t>
      </w:r>
      <w:r>
        <w:rPr>
          <w:rFonts w:ascii="Calibri" w:hAnsi="Calibri"/>
          <w:b w:val="0"/>
          <w:color w:val="3A4A28"/>
          <w:sz w:val="20"/>
        </w:rPr>
        <w:t>Low profitability metrics — 6.3% profit margin and 4.97% ROE suggest the agricultural inputs business generates modest capital returns, limiting valuation upside if growth slows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Corteva's core business — physical seed genetics and crop protection chemistry — cannot be replaced by AI. Agricultural inputs require biological R&amp;D, manufacturing, and distribution infrastructure that AI structurally cannot displace [2]. AI is fundamentally an enabler: precision agriculture tools drive adoption of premium traits and optimize chemical application, expanding Corteva's addressable market rather than shrinking it. The planned separation does raise questions about splitting AI and data capabilities across two entities [2]. AI Opportunity (1/1): Corteva generates measurable value from AI through its digital twin seed platform, AI-accelerated breeding pipelines, and $10M+ annual savings from automated field research; VP Brian Lutz testified to Congress on AI's role in agrochemicals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Corteva Q4 2025 Earnings Release — record 2025 EBITDA of $3.85B, 2026 guidance of $4.0-4.2B, February 3, 2026</w:t>
      </w:r>
    </w:p>
    <w:p>
      <w:pPr>
        <w:spacing w:before="20" w:after="20"/>
        <w:ind w:left="170"/>
      </w:pPr>
      <w:r>
        <w:rPr>
          <w:rFonts w:ascii="Calibri" w:hAnsi="Calibri"/>
          <w:b/>
          <w:color w:val="4A6B25"/>
          <w:sz w:val="15"/>
        </w:rPr>
        <w:t xml:space="preserve">2. </w:t>
      </w:r>
      <w:r>
        <w:rPr>
          <w:rFonts w:ascii="Calibri" w:hAnsi="Calibri"/>
          <w:b w:val="0"/>
          <w:color w:val="3A4A28"/>
          <w:sz w:val="17"/>
        </w:rPr>
        <w:t>PitchGrade Research, AgFunderNews, Corteva Investor Day — AI innovation, digital twin, precision agriculture strategy, November 2024-2026</w:t>
      </w:r>
    </w:p>
    <w:p>
      <w:pPr>
        <w:spacing w:before="20" w:after="20"/>
        <w:ind w:left="170"/>
      </w:pPr>
      <w:r>
        <w:rPr>
          <w:rFonts w:ascii="Calibri" w:hAnsi="Calibri"/>
          <w:b/>
          <w:color w:val="4A6B25"/>
          <w:sz w:val="15"/>
        </w:rPr>
        <w:t xml:space="preserve">3. </w:t>
      </w:r>
      <w:r>
        <w:rPr>
          <w:rFonts w:ascii="Calibri" w:hAnsi="Calibri"/>
          <w:b w:val="0"/>
          <w:color w:val="3A4A28"/>
          <w:sz w:val="17"/>
        </w:rPr>
        <w:t>NRDC, CBS Philadelphia, EWG, Investigate Midwest — PFAS settlements, Enlist Duo cancellation, chlorpyrifos litigation, ESG controversies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CTVA (Corteva),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