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CUK</w:t>
      </w:r>
      <w:r>
        <w:rPr>
          <w:rFonts w:ascii="Calibri" w:hAnsi="Calibri"/>
          <w:b/>
          <w:color w:val="1A2010"/>
          <w:sz w:val="40"/>
        </w:rPr>
        <w:t xml:space="preserve">  Carnival Corporation &amp; plc</w:t>
      </w:r>
    </w:p>
    <w:p>
      <w:pPr>
        <w:spacing w:after="120"/>
      </w:pPr>
      <w:r>
        <w:rPr>
          <w:rFonts w:ascii="Calibri" w:hAnsi="Calibri"/>
          <w:b/>
          <w:color w:val="6E8450"/>
          <w:sz w:val="18"/>
        </w:rPr>
        <w:t>GROWTH SLEEVE · 2026-04-11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Carnival Corporation &amp; plc is the world's largest cruise company, operating nine brands including Carnival Cruise Line, Princess Cruises, Holland America Line, Cunard, and Costa Cruises. The company provides leisure travel services across North America, Europe, Australia, and internationally, operating port destinations, islands, hotels, and motorcoaches. Founded in 1972 and headquartered in Miami, Florida.</w:t>
      </w:r>
    </w:p>
    <w:p>
      <w:r>
        <w:rPr>
          <w:rFonts w:ascii="Calibri" w:hAnsi="Calibri"/>
          <w:b/>
          <w:color w:val="6E8450"/>
          <w:sz w:val="18"/>
        </w:rPr>
        <w:t>160,000 Employees · https://www.carnivalcorp.com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Carnival has not executed a transformative business model pivot in the last five years; the primary strategic achievement was surviving COVID-19 and rebuilding operations to record revenue levels, which is operational recovery rather than innovation [1]. AI Deployment (0/2): No evidence of AI-powered products shipping to guests or quantified AI-driven operational savings. CEO Josh Weinstein emphasizes diversity-driven innovation in guest experience personalization but has not disclosed specific AI initiatives [2]. Market Share (2/2): Carnival is the undisputed category leader as the world's largest cruise company with ~45% global cruise market share, operating nine brands and ~90+ ships with capacity dominance that creates purchasing power and port access advantages [1]. Product Pipeline (1/2): New ship deliveries and destination islands are in the pipeline, and Q1 2026 showed record booking volumes for 2026 and 2027 sailings at historically high prices, providing multi-year revenue visibility [1]. R&amp;D Intensity (0/1): Cruise operators invest primarily in ship construction and guest experience rather than traditional R&amp;D; Carnival's technology spending is at industry standard levels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Carnival's purpose centers on delivering 'unforgettable happiness' through cruise experiences — clear and connected to its business, but not deeply distinctive or validated through decades of purpose-driven strategic decisions; it describes what they do rather than a transformative vision [2]. Community Impact (1/2): The company has published sustainability reports since 2009, supports port communities, and has established environmental programs including LNG-powered ships and waste reduction targets, though charitable giving specifics are limited [3]. Employee Retention (0/2): Glassdoor reviews show mixed sentiment with the Executive Team rated 'D+' in the bottom 25% of companies with 10,000+ employees on Comparably; female employees and customer support departments report lower satisfaction [2]. Insider Buying (0/2): Net insider selling — Director Band sold shares in both August 2025 and April 2026; CEO Weinstein received stock awards but no evidence of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Carnival's valuation is compelling with a forward P/E of 11.1x on $26.6B in FY2025 revenue, and the company achieved record adjusted net income in FY2025 [1]. ROE of 27.9% is strong, reflecting the earnings recovery and high asset utilization. However, the balance sheet remains burdened with $26.6B in debt (D/E of 204%), a legacy of COVID-era survival borrowing that will take years to fully delever [4]. Revenue grew 6.1% YoY on a massive base, with Q1 2026 showing $6.2B in record quarterly revenue and yields up 10% [1]. Profit margin of 11.5% is improving but remains below the 20% target as interest expense on the heavy debt load weighs on net income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Carnival operates with a predominantly finite mindset. The company's strategic language centers on record revenue, record EBITDA, yield optimization, and capacity growth — metrics optimized for this quarter and next. CEO Josh Weinstein has stabilized the company post-COVID and achieved investment-grade leverage metrics, which is commendable operational execution, but the organization's purpose does not extend meaningfully beyond delivering shareholder returns and guest entertainment. The company showed remarkable survival instinct during COVID but has not articulated a cause that transcends the next booking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Carnival's purpose — delivering 'unforgettable happiness' through cruise vacations — is clear but shallow by Sinek's standards. It describes a product benefit, not a vision of a future state worth sacrificing for. Strategic decisions are driven by yield optimization, capacity management, and debt reduction rather than a cause. The company exists to operate cruises profitably, and while it does that well, there is no Just Cause that would survive the loss of the cruise business itself (1 point)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160,000 employees across nine brands and a global fleet, Carnival faces inherent challenges in building trust at scale. Glassdoor ratings show a 'D+' executive team rating, and female employees report lower satisfaction [2]. However, CEO Weinstein's emphasis on open dialogue and collaboration, and the company's ability to retain and rebuild its massive workforce post-COVID, suggest adequate organizational trust. The multi-brand structure allows some cultural autonomy, which can support trust within individual brands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Carnival's competitive language focuses on being the largest, achieving record bookings, and delivering record yields — finite metrics about winning rather than improving. The company does not publicly reference Royal Caribbean's innovations (like Icon of the Seas) as worthy competition that pushes Carnival to improve; instead, the narrative is about Carnival's own dominance and market share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 demonstrated significant operational flexibility during COVID — suspending operations, raising survival capital, managing a fleet in cold layup, and then rebuilding to record revenue levels in three years [1]. This showed adaptability under extreme duress. However, the company emerged doing exactly the same thing it was doing before — operating cruise ships. There was no strategic reinvention, just operational survival and recovery. The flexibility was reactive and defensive, not driven by a Just Cause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courage by reinvesting in fleet expansion and guest experience during the debt-heavy recovery period rather than solely focusing on deleveraging. The decision to reinstate dividends in FY2025 after achieving investment-grade leverage metrics balanced stakeholder expectations against financial prudence [1]. CEO Weinstein also maintained commitments to LNG-powered newbuilds and environmental targets despite cost pressures. These are meaningful but not transformative examples of long-term thinking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Carnival Corporation is executing a strong post-COVID recovery, delivering record Q1 2026 revenue of $6.2B with yields up 10% and record booking volumes for 2026-2027 sailings at historically high prices [1]. At 11x forward earnings with 27.9% ROE, the valuation is attractive for the world's largest cruise operator with ~45% global market share and significant operating leverage as revenue scales against a largely fixed cost base. Management guides for 12% adjusted net income growth in FY2026 on less than 1% capacity growth, with a $7B EBITDA target that would further accelerate deleveraging toward investment-grade metrics [1].</w:t>
      </w:r>
    </w:p>
    <w:p>
      <w:pPr>
        <w:spacing w:after="120"/>
      </w:pPr>
      <w:r>
        <w:rPr>
          <w:rFonts w:ascii="Calibri" w:hAnsi="Calibri"/>
          <w:b w:val="0"/>
          <w:color w:val="3A4A28"/>
          <w:sz w:val="20"/>
        </w:rPr>
        <w:t>The bear case centers on Carnival's $26.6B debt mountain (D/E of 204%), which creates enormous interest expense drag on net income and leaves the company vulnerable to any demand disruption — whether from recession, geopolitical events, or another pandemic [4]. Profit margin of 11.5% remains compressed by debt service costs, and the company cannot meaningfully return capital to shareholders until leverage normalizes further. The cruise industry faces structural ESG headwinds with a Sustainalytics controversy level of 3 (Significant), environmental regulatory tightening, and port community resistance that could constrain capacity growth [3]. A global recession reducing discretionary travel spending would disproportionately impact Carnival given its leverage and fixed-cost ship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yield growth and record booking volumes for 2026-2027 driving $7B adjusted EBITDA target and accelerating debt reduction toward investment-grade ratings</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interest expense declines through debt refinancing at lower rates, converting revenue growth more efficiently to net income</w:t>
      </w:r>
    </w:p>
    <w:p>
      <w:pPr>
        <w:spacing w:before="40" w:after="40"/>
        <w:ind w:left="283"/>
      </w:pPr>
      <w:r>
        <w:rPr>
          <w:rFonts w:ascii="Calibri" w:hAnsi="Calibri"/>
          <w:b/>
          <w:color w:val="4A6B25"/>
          <w:sz w:val="20"/>
        </w:rPr>
        <w:t xml:space="preserve">3. </w:t>
      </w:r>
      <w:r>
        <w:rPr>
          <w:rFonts w:ascii="Calibri" w:hAnsi="Calibri"/>
          <w:b w:val="0"/>
          <w:color w:val="3A4A28"/>
          <w:sz w:val="20"/>
        </w:rPr>
        <w:t>Fleet optimization through new ship deliveries and older ship retirements, improving guest experience and per-berth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$26.6B debt load creates existential vulnerability to any sustained demand disruption — a recession, pandemic, or geopolitical crisis could trigger a liquidity spiral given the fixed-cost operating model</w:t>
      </w:r>
    </w:p>
    <w:p>
      <w:pPr>
        <w:spacing w:before="40" w:after="40"/>
        <w:ind w:left="283"/>
      </w:pPr>
      <w:r>
        <w:rPr>
          <w:rFonts w:ascii="Calibri" w:hAnsi="Calibri"/>
          <w:b/>
          <w:color w:val="4A6B25"/>
          <w:sz w:val="20"/>
        </w:rPr>
        <w:t xml:space="preserve">2. </w:t>
      </w:r>
      <w:r>
        <w:rPr>
          <w:rFonts w:ascii="Calibri" w:hAnsi="Calibri"/>
          <w:b w:val="0"/>
          <w:color w:val="3A4A28"/>
          <w:sz w:val="20"/>
        </w:rPr>
        <w:t>Environmental regulatory tightening on cruise ship emissions, waste disposal, and port access could increase compliance costs and constrain itinerary options in key markets</w:t>
      </w:r>
    </w:p>
    <w:p>
      <w:pPr>
        <w:spacing w:before="40" w:after="40"/>
        <w:ind w:left="283"/>
      </w:pPr>
      <w:r>
        <w:rPr>
          <w:rFonts w:ascii="Calibri" w:hAnsi="Calibri"/>
          <w:b/>
          <w:color w:val="4A6B25"/>
          <w:sz w:val="20"/>
        </w:rPr>
        <w:t xml:space="preserve">3. </w:t>
      </w:r>
      <w:r>
        <w:rPr>
          <w:rFonts w:ascii="Calibri" w:hAnsi="Calibri"/>
          <w:b w:val="0"/>
          <w:color w:val="3A4A28"/>
          <w:sz w:val="20"/>
        </w:rPr>
        <w:t>Consumer discretionary spending weakness from inflation, rising unemployment, or recession would compress booking volumes and pricing power, particularly in the mass-market Carnival brand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The cruise industry is inherently physical — guests board ships, eat meals, visit ports, and experience entertainment in person. AI cannot replicate the core value proposition of a Caribbean cruise or an Alaskan glacier excursion. Carnival's competitive moats (fleet of 90+ ships, port infrastructure, brand portfolio, scale-driven purchasing power) are all physical assets that AI structurally cannot displace [1]. AI may modestly enhance booking, dynamic pricing, and onboard personalization, but it does not threaten the core business model. No analysts have flagged AI as a disruption risk for the cruise industry. AI Opportunity (0/1): No evidence of meaningful AI-generated revenue. While Carnival likely uses AI-adjacent tools for yield management and marketing, no specific AI products or quantified AI revenue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Carnival Corporation Q1 2026 Earnings Release — 'Record First Quarter Operating Results and Record Bookings',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 Carnival Corporation employee reviews and executive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Carnival Corp., accessed April 2026; Carnival Sustainability Journey page</w:t>
      </w:r>
    </w:p>
    <w:p>
      <w:pPr>
        <w:spacing w:before="20" w:after="20"/>
        <w:ind w:left="170"/>
      </w:pPr>
      <w:r>
        <w:rPr>
          <w:rFonts w:ascii="Calibri" w:hAnsi="Calibri"/>
          <w:b/>
          <w:color w:val="4A6B25"/>
          <w:sz w:val="15"/>
        </w:rPr>
        <w:t xml:space="preserve">4. </w:t>
      </w:r>
      <w:r>
        <w:rPr>
          <w:rFonts w:ascii="Calibri" w:hAnsi="Calibri"/>
          <w:b w:val="0"/>
          <w:color w:val="3A4A28"/>
          <w:sz w:val="17"/>
        </w:rPr>
        <w:t>Yahoo Finance — CUK/CCL key statistics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CruiseHive — 'Carnival Ignites 2026 With Explosive Booking Growth and Record Revenue',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