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CURV</w:t>
      </w:r>
      <w:r>
        <w:rPr>
          <w:rFonts w:ascii="Calibri" w:hAnsi="Calibri"/>
          <w:b/>
          <w:color w:val="1A2010"/>
          <w:sz w:val="40"/>
        </w:rPr>
        <w:t xml:space="preserve">  Torrid Holdings Inc.</w:t>
      </w:r>
    </w:p>
    <w:p>
      <w:pPr>
        <w:spacing w:after="120"/>
      </w:pPr>
      <w:r>
        <w:rPr>
          <w:rFonts w:ascii="Calibri" w:hAnsi="Calibri"/>
          <w:b/>
          <w:color w:val="6E8450"/>
          <w:sz w:val="18"/>
        </w:rPr>
        <w:t>GROWTH SLEEVE · 2026-05-01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Torrid Holdings Inc. provides apparel, intimates, and accessories for plus- and mid-size women in North America through its e-commerce platforms and approximately 483 retail stores under the Torrid, CURV, and Lovesick brands.</w:t>
      </w:r>
    </w:p>
    <w:p>
      <w:r>
        <w:rPr>
          <w:rFonts w:ascii="Calibri" w:hAnsi="Calibri"/>
          <w:b/>
          <w:color w:val="6E8450"/>
          <w:sz w:val="18"/>
        </w:rPr>
        <w:t>1,530 Employees · https://www.torrid.com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Torrid's sub-brand strategy generated $70M+ in sales in FY2025, representing a modest product extension rather than a transformative launch. The company closed 151 underperforming stores, which is rationalization not innovation [1]. AI Deployment (0/2): No evidence of AI-powered products, AI-driven personalization, or quantified AI efficiency gains. The company has not articulated an AI strategy in earnings calls or public materials. Market Share Leadership (1/2): Torrid is the largest specialty retailer focused exclusively on plus-size women's apparel, occupying a distinctive niche, but comparable sales declined 10% in Q4 2025 indicating share erosion even within its core market [1]. Product Pipeline (0/2): No specific next-generation products or significant category expansions announced beyond the sub-brand growth strategy. FY2026 guidance implies continued revenue decline to $940-960M [1]. R&amp;D Intensity (1/1): Torrid invests in proprietary fit technology and sizing expertise specific to the plus-size market, which constitutes above-average product development effort for a specialty retailer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Torrid's purpose of empowering plus-size women through fashion and fit is specific and connects to a genuine underserved market — it describes what the company does and for whom with real meaning. However, it is not transformative or validated by decades of consistent execution. Community Impact (1/2): Torrid's focus on plus-size inclusivity addresses a historically underserved demographic in fashion retail, and the brand maintains strong emotional connections with its customer community through body-positive marketing [2]. Employee Retention (0/2): Glassdoor rating of 2.4/5 in City of Industry headquarters is significantly below average, with employees citing difficult work environment created by leadership and excessive bureaucracy. Executive team rated in bottom 20% by Comparably [3]. Insider Buying (1/2): Insider activity is mixed — CFO Dempsey sold $88K in April 2026, but the amounts are minimal relative to stock awards, suggesting routine rather than conviction selling. CEO Lisa Harper received a large 472K share stock award, aligning interests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Torrid's financial profile is deeply distressed. Revenue declined 9.4% in FY2025 to $1.0B, with FY2026 guidance of $940-960M implying continued deterioration [1]. The company has negative stockholders' equity (D/E and ROE are not calculable), with $436M in debt against only $20M cash — a precarious balance sheet. Profit margins turned negative at -0.7%, and the 3-year revenue CAGR of -8.1% reflects persistent secular decline. Forward P/E of 46.9 is extremely elevated for a declining retailer with minimal earnings. The stock trades at $1.72, down 74% from its 52-week high of $6.69 [1][2]. Liquidity barely clears the $1M floor at $1.46M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Torrid exhibits predominantly finite-game characteristics — the company is focused on survival through store closures, cost rationalization, and near-term financial targets rather than building toward an enduring vision. The recent CEO change and organizational restructuring reflect reactive management rather than cause-driven leadership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Torrid's focus on plus-size women's fashion fills a genuine market need, but the company's strategic decisions are driven by financial necessity (closing 151 stores, cutting costs) rather than an enduring vision of empowerment. The purpose exists but reads as brand positioning rather than a Just Cause that shapes difficult decisions and survives leadership transitions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ratings of 2.4/5 at headquarters, with employees reporting that the CEO speaks down to management, excessive bureaucracy, and a difficult work environment. The executive team is rated in the bottom 20% by Comparably. The recent CEO change from Liz Munoz to Lisa Harper signals organizational instability at the highest level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Torrid's competitive positioning is primarily about defending its niche against encroachment from mainstream retailers expanding into plus-size (Lane Bryant, Old Navy, Target), rather than learning from competitors' strengths. The 151-store closure and declining comparable sales suggest the company is in competitive retreat rather than competitive 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Torrid remains wedded to its brick-and-mortar specialty retail model despite persistent revenue decline. The sub-brand strategy ($70M in sales) and store closures represent incremental adjustments, not a transformative pivot. The company has not demonstrated willingness to fundamentally reimagine its business model in response to the secular shift to e-commerce and fast fashion competition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close 151 underperforming stores in FY2025 — reducing the fleet by 24% — required painful short-term sacrifice and represents some willingness to accept near-term revenue loss for long-term store portfolio health. CEO Lisa Harper's appointment brings retail turnaround experience, though it's too early to assess whether the new leadership will make courageous long-term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Torrid occupies a distinctive niche as the largest specialty retailer for plus-size women, a demographic historically underserved by mainstream fashion. The sub-brand strategy generated $70M+ in FY2025 sales and is projected to grow 60% in FY2026, offering a potential bright spot. The aggressive 151-store closure program and new CEO Lisa Harper signal management's willingness to rationalize the business, and FY2026 adjusted EBITDA guidance of $65-75M suggests modest profitability improvement despite revenue decline [1].</w:t>
      </w:r>
    </w:p>
    <w:p>
      <w:pPr>
        <w:spacing w:after="120"/>
      </w:pPr>
      <w:r>
        <w:rPr>
          <w:rFonts w:ascii="Calibri" w:hAnsi="Calibri"/>
          <w:b w:val="0"/>
          <w:color w:val="3A4A28"/>
          <w:sz w:val="20"/>
        </w:rPr>
        <w:t>The bear case is substantial. Revenue has declined from $1.29B (FY2023) to $1.0B (FY2025) with FY2026 guidance of $940-960M — a persistent secular decline that shows no signs of reversal. The company has negative stockholders' equity with $436M in debt against $20M cash, creating significant financial fragility. The stock at $1.72 is down 74% from its 52-week high and carries meaningful delisting risk if it remains below $1. Competition from mainstream retailers expanding plus-size offerings (Old Navy, Target) and fast-fashion disruptors (Shein) continues to erode Torrid's positioning. Extremely poor employee satisfaction (Glassdoor 2.4/5) and executive turnover compound operational challenges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Sub-brand growth projected at 60% in FY2026 could partially offset core brand decline and improve margin mix through higher-margin product categories [1]</w:t>
      </w:r>
    </w:p>
    <w:p>
      <w:pPr>
        <w:spacing w:before="40" w:after="40"/>
        <w:ind w:left="283"/>
      </w:pPr>
      <w:r>
        <w:rPr>
          <w:rFonts w:ascii="Calibri" w:hAnsi="Calibri"/>
          <w:b/>
          <w:color w:val="4A6B25"/>
          <w:sz w:val="20"/>
        </w:rPr>
        <w:t xml:space="preserve">2. </w:t>
      </w:r>
      <w:r>
        <w:rPr>
          <w:rFonts w:ascii="Calibri" w:hAnsi="Calibri"/>
          <w:b w:val="0"/>
          <w:color w:val="3A4A28"/>
          <w:sz w:val="20"/>
        </w:rPr>
        <w:t>Store closure program completing with a rationalized 483-store fleet should improve per-store economics and reduce fixed cost drag on profitability [1]</w:t>
      </w:r>
    </w:p>
    <w:p>
      <w:pPr>
        <w:spacing w:before="40" w:after="40"/>
        <w:ind w:left="283"/>
      </w:pPr>
      <w:r>
        <w:rPr>
          <w:rFonts w:ascii="Calibri" w:hAnsi="Calibri"/>
          <w:b/>
          <w:color w:val="4A6B25"/>
          <w:sz w:val="20"/>
        </w:rPr>
        <w:t xml:space="preserve">3. </w:t>
      </w:r>
      <w:r>
        <w:rPr>
          <w:rFonts w:ascii="Calibri" w:hAnsi="Calibri"/>
          <w:b w:val="0"/>
          <w:color w:val="3A4A28"/>
          <w:sz w:val="20"/>
        </w:rPr>
        <w:t>New CEO Lisa Harper's retail turnaround experience could bring fresh strategic direction and operational discipline to a business that has struggled with leadership instability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revenue decline with FY2026 guidance of $940-960M implies another 4-6% contraction, and the 3-year negative CAGR of -8.1% suggests structural demand erosion in the core business [1]</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$436M debt with only $20M cash create significant balance sheet risk; any revenue miss could trigger covenant concerns or liquidity stress [2]</w:t>
      </w:r>
    </w:p>
    <w:p>
      <w:pPr>
        <w:spacing w:before="40" w:after="40"/>
        <w:ind w:left="283"/>
      </w:pPr>
      <w:r>
        <w:rPr>
          <w:rFonts w:ascii="Calibri" w:hAnsi="Calibri"/>
          <w:b/>
          <w:color w:val="4A6B25"/>
          <w:sz w:val="20"/>
        </w:rPr>
        <w:t xml:space="preserve">3. </w:t>
      </w:r>
      <w:r>
        <w:rPr>
          <w:rFonts w:ascii="Calibri" w:hAnsi="Calibri"/>
          <w:b w:val="0"/>
          <w:color w:val="3A4A28"/>
          <w:sz w:val="20"/>
        </w:rPr>
        <w:t>Stock trading at $1.72 faces potential NYSE delisting risk if price remains depressed, which could trigger forced selling and further liquidity deterioration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Torrid's core business — physical retail stores, fitting rooms, and in-person customer relationships with plus-size women — has meaningful protection from AI disruption. The proprietary fit expertise and emotional brand connection are not easily replicated by AI tools. However, AI-powered virtual try-on, personalized styling recommendations from competitors, and AI-driven fast fashion optimization (Shein, Temu) create moderate indirect disruption risk by compressing competitive advantages in the broader apparel market [2]. AI Opportunity (0/1): No evidence of AI revenue, AI-powered products, or quantified AI-driven operational improvements. The company has not articulated an AI strategy publicly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Torrid Holdings FY2025 (Q4 ending January 2026) Earnings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CURV key statistics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employee reviews for Torrid,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for Torrid Holdings Inc.,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