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CUZ</w:t>
      </w:r>
      <w:r>
        <w:rPr>
          <w:rFonts w:ascii="Calibri" w:hAnsi="Calibri"/>
          <w:b/>
          <w:color w:val="1A2010"/>
          <w:sz w:val="40"/>
        </w:rPr>
        <w:t xml:space="preserve">  Cousins Properties Incorporated</w:t>
      </w:r>
    </w:p>
    <w:p>
      <w:pPr>
        <w:spacing w:after="120"/>
      </w:pPr>
      <w:r>
        <w:rPr>
          <w:rFonts w:ascii="Calibri" w:hAnsi="Calibri"/>
          <w:b/>
          <w:color w:val="6E8450"/>
          <w:sz w:val="18"/>
        </w:rPr>
        <w:t>DIVIDEND SLEEVE · 2026-04-17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Cousins Properties is a fully integrated, self-administered real estate investment trust primarily investing in Class A 'trophy lifestyle' office buildings in high-growth Sun Belt markets including Atlanta, Dallas, Charlotte, Austin, Tampa, and Phoenix. Founded in 1958, the company creates value through development, acquisition, leasing, and management of high-quality office assets.</w:t>
      </w:r>
    </w:p>
    <w:p>
      <w:r>
        <w:rPr>
          <w:rFonts w:ascii="Calibri" w:hAnsi="Calibri"/>
          <w:b/>
          <w:color w:val="6E8450"/>
          <w:sz w:val="18"/>
        </w:rPr>
        <w:t>351 Employees · https://www.cousins.com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Cousins has executed a multi-year strategy shift toward 'trophy lifestyle' office assets in Sun Belt markets, completing strategic capital recycling and the Tier REIT merger, but these are incremental portfolio refinements rather than transformative pivots [1]. Leasing of 551,000 sq ft in Q4 2025 marked the second-highest quarterly volume in three years [1]. AI Deployment (0/2): No AI-powered products or meaningful AI adoption in operations; the company manages physical office properties through traditional property management [2]. Market Share (1/2): Cousins is a significant Sun Belt office REIT with a $4.0B market cap and a portfolio concentrated in high-demand markets, but it is one of several Sun Belt-focused office REITs without dominant share in any market [1]. Pipeline (1/2): The company's development pipeline includes active projects with specific delivery timelines, and 2026 FFO guidance of $2.92/share midpoint provides forward visibility [3]. R&amp;D Intensity (1/1): For a REIT, R&amp;D equivalent is capital investment in development and repositioning; Cousins consistently reinvests in its portfolio through value-add renovations and ground-up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Cousins' stated strategy of 'simple platform, trophy assets, and opportunistic investments' is clear but not purposeful — it describes what the company does, not why it exists [4]. The company's focus on creating vibrant workplaces is functional rather than aspirational. Community Impact (1/2): Cousins emphasizes being a responsible steward in its communities, participating in GRESB (earning 'Green Star' rating), and investing in neighborhood vitality, though specific philanthropic programs and dollar amounts are not prominently detailed [5]. Employee Retention (1/2): Glassdoor rating of 3.7/5 with 64% recommendation rate is adequate for the industry; employees cite culture as a positive, while compensation and senior leadership receive some criticism [2]. Insider Buying (1/2): Institutional ownership exceeds 100% (112%), indicating strong institutional conviction, though insider ownership at 0.96% is modest; no evidence of significant net insider buying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Cousins' financial profile reflects the capital-intensive reality of office REITs. D/E of 72.1% is slightly above the 70% target, reflecting typical REIT leverage with $3.4B in total debt against $5.7M cash [6]. ROE of 0.86% is extremely low, reflecting depressed GAAP earnings — the P/E of 98x confirms this, though FFO-based metrics are more relevant for REITs [6]. Revenue grew 13.3% YoY to $993.8M, driven by acquisitions and same-property rent increases, with 46 consecutive quarters of positive second-generation cash rent roll-ups averaging 4.2% [1]. Profit margin of 4.1% is thin on a GAAP basis. The 533% payout ratio (GAAP) reflects REIT distribution mechanics where FFO, not net income, drives dividends. Consecutive years of dividends paid exceeds 39 years (since at least 1987), but dividend growth has stalled — the $1.28/share annual dividend has been flat since 2023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Cousins Properties has played a long game since 1958, maintaining a consistent focus on quality office assets through multiple real estate cycles. The company's disciplined capital recycling strategy and refusal to chase lower-quality assets reflect infinite game thinking, though the post-COVID office environment tests whether the 'trophy lifestyle office' thesis is enduring conviction or hopeful positioning.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Cousins' consistent commitment to quality over quantity — selling lower-quality assets and concentrating in 'trophy lifestyle' office properties — has been maintained for over a decade through a challenging office market [1]. The company's founding in 1958 and multi-generational leadership demonstrate endurance. However, the purpose is ultimately about owning the best buildings, which is a strategy rather than a Just Cause in Sinek's sense.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Colin Connolly provides stable leadership, and the company's 351 employees operate in a relatively small, focused organization [4]. Glassdoor ratings of 3.7/5 suggest adequate but not exceptional team trust. Employee reviews cite culture as a positive but note issues with senior leadership and compensation. The organization appears functional without evidence of extraordinary empowerment.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Cousins acknowledges competitors like Highwoods Properties and Piedmont Office Realty in Sun Belt markets, and its investor presentations reference competitive dynamics that drive quality improvements in its portfolio [1]. The company's capital recycling strategy — selling assets that don't meet its quality threshold — implicitly acknowledges that competitors may serve those markets better.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Cousins has evolved from a diversified real estate company (office, retail, mixed-use) to a pure-play Sun Belt office REIT through years of deliberate portfolio simplification [4]. The merger with Tier REIT and subsequent asset sales demonstrate strategic flexibility. However, the company has not faced or executed a truly transformative pivot — the evolution has been incremental refinement within the same asset class. (1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maintained conviction in the office sector through the COVID-era remote work crisis, continuing to invest in development and acquisitions when many peers retreated [1]. Buying Tier REIT during the pandemic period and maintaining the dividend through office market uncertainty demonstrates willingness to lean into adversity. However, the company has not made any truly costly contrarian bets.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Cousins Properties offers a 5.44% dividend yield with exposure to the Sun Belt office recovery theme, trading at $23.53 — a 24% discount to its 52-week high of $30.81 [6]. The company delivered 13.3% revenue growth in 2025 to $993.8M, with 551,000 sq ft of Q4 leasing volume and 46 consecutive quarters of positive second-generation cash rent roll-ups [1]. 2026 FFO guidance of $2.92/share midpoint represents 2.8% growth, and BMO Capital recently upgraded the stock on improving occupancy trends with a year-end 2026 target of 90% occupancy [3]. The 11.5% cumulative FFO per share growth forecast from 2023 to 2026 demonstrates gradual recovery momentum [1].</w:t>
      </w:r>
    </w:p>
    <w:p>
      <w:pPr>
        <w:spacing w:after="120"/>
      </w:pPr>
      <w:r>
        <w:rPr>
          <w:rFonts w:ascii="Calibri" w:hAnsi="Calibri"/>
          <w:b w:val="0"/>
          <w:color w:val="3A4A28"/>
          <w:sz w:val="20"/>
        </w:rPr>
        <w:t>The bear case centers on structural office demand uncertainty and poor financial metrics on a GAAP basis. ROE of 0.86% and profit margin of 4.1% reflect the office REIT's heavy depreciation and interest costs, while the 98x P/E and 78x forward P/E are misleading (FFO-based metrics are more relevant but still show modest yields) [6]. The Bank of America lease expiration in Charlotte weighs on occupancy until July 2026, and the 90% occupancy target remains below pre-COVID norms of 93-95%. The $3.4B debt load against only $5.7M cash creates refinancing risk in a higher-for-longer rate environment. The dividend has been flat at $1.28/share since 2023 with no growth, and the 'AI disruption narrative' continues to pressure office REIT valuations as companies evaluate space needs in an AI-augmented workforce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Occupancy recovery toward 90% year-end 2026 target, particularly as Bank of America vacancy is absorbed and new tenant commitments commence [1]</w:t>
      </w:r>
    </w:p>
    <w:p>
      <w:pPr>
        <w:spacing w:before="40" w:after="40"/>
        <w:ind w:left="283"/>
      </w:pPr>
      <w:r>
        <w:rPr>
          <w:rFonts w:ascii="Calibri" w:hAnsi="Calibri"/>
          <w:b/>
          <w:color w:val="4A6B25"/>
          <w:sz w:val="20"/>
        </w:rPr>
        <w:t xml:space="preserve">2. </w:t>
      </w:r>
      <w:r>
        <w:rPr>
          <w:rFonts w:ascii="Calibri" w:hAnsi="Calibri"/>
          <w:b w:val="0"/>
          <w:color w:val="3A4A28"/>
          <w:sz w:val="20"/>
        </w:rPr>
        <w:t>Sun Belt population and job growth dynamics driving Class A office demand — Atlanta, Dallas, and Charlotte continue to attract corporate relocations [1]</w:t>
      </w:r>
    </w:p>
    <w:p>
      <w:pPr>
        <w:spacing w:before="40" w:after="40"/>
        <w:ind w:left="283"/>
      </w:pPr>
      <w:r>
        <w:rPr>
          <w:rFonts w:ascii="Calibri" w:hAnsi="Calibri"/>
          <w:b/>
          <w:color w:val="4A6B25"/>
          <w:sz w:val="20"/>
        </w:rPr>
        <w:t xml:space="preserve">3. </w:t>
      </w:r>
      <w:r>
        <w:rPr>
          <w:rFonts w:ascii="Calibri" w:hAnsi="Calibri"/>
          <w:b w:val="0"/>
          <w:color w:val="3A4A28"/>
          <w:sz w:val="20"/>
        </w:rPr>
        <w:t>Potential interest rate cuts improving REIT valuations and reducing refinancing costs on the $3.4B debt portfolio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decline in office demand as AI tools and remote work reduce corporate space requirements per employee, pressuring occupancy and rents long-term [2]</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the $3.4B debt portfolio creates significant refinancing risk if rates remain elevated, compressing FFO and dividend coverage [6]</w:t>
      </w:r>
    </w:p>
    <w:p>
      <w:pPr>
        <w:spacing w:before="40" w:after="40"/>
        <w:ind w:left="283"/>
      </w:pPr>
      <w:r>
        <w:rPr>
          <w:rFonts w:ascii="Calibri" w:hAnsi="Calibri"/>
          <w:b/>
          <w:color w:val="4A6B25"/>
          <w:sz w:val="20"/>
        </w:rPr>
        <w:t xml:space="preserve">3. </w:t>
      </w:r>
      <w:r>
        <w:rPr>
          <w:rFonts w:ascii="Calibri" w:hAnsi="Calibri"/>
          <w:b w:val="0"/>
          <w:color w:val="3A4A28"/>
          <w:sz w:val="20"/>
        </w:rPr>
        <w:t>Tenant concentration and lease expiration risk — large single-tenant departures (like Bank of America) create lumpy vacancies that take quarters to backfill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Cousins faces indirect but meaningful AI disruption risk through the 'AI disruption narrative' that weighs on office REIT valuations [2]. As AI and remote work tools improve, corporate tenants may need less physical office space per employee, reducing demand for even trophy-quality assets. However, Cousins' focus on lifestyle office properties — amenity-rich, transit-accessible, mixed-use environments — positions it to capture the 'flight to quality' trend where tenants consolidate into fewer, better buildings. The Sun Belt market focus benefits from favorable demographic trends. Physical real estate ownership is fundamentally immune to AI substitution. AI Opportunity (0/1): No AI-generated revenue; Cousins is a physical asset owner without technology products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Cousins Properties Q4 2025 Earnings Call Transcript, Motley Fool / Investing.com, February 2026</w:t>
      </w:r>
    </w:p>
    <w:p>
      <w:pPr>
        <w:spacing w:before="20" w:after="20"/>
        <w:ind w:left="170"/>
      </w:pPr>
      <w:r>
        <w:rPr>
          <w:rFonts w:ascii="Calibri" w:hAnsi="Calibri"/>
          <w:b/>
          <w:color w:val="4A6B25"/>
          <w:sz w:val="15"/>
        </w:rPr>
        <w:t xml:space="preserve">2. </w:t>
      </w:r>
      <w:r>
        <w:rPr>
          <w:rFonts w:ascii="Calibri" w:hAnsi="Calibri"/>
          <w:b w:val="0"/>
          <w:color w:val="3A4A28"/>
          <w:sz w:val="17"/>
        </w:rPr>
        <w:t>Cousins Properties (CUZ) Tackling the AI Disruption Narrative, Insider Monkey, 2026</w:t>
      </w:r>
    </w:p>
    <w:p>
      <w:pPr>
        <w:spacing w:before="20" w:after="20"/>
        <w:ind w:left="170"/>
      </w:pPr>
      <w:r>
        <w:rPr>
          <w:rFonts w:ascii="Calibri" w:hAnsi="Calibri"/>
          <w:b/>
          <w:color w:val="4A6B25"/>
          <w:sz w:val="15"/>
        </w:rPr>
        <w:t xml:space="preserve">3. </w:t>
      </w:r>
      <w:r>
        <w:rPr>
          <w:rFonts w:ascii="Calibri" w:hAnsi="Calibri"/>
          <w:b w:val="0"/>
          <w:color w:val="3A4A28"/>
          <w:sz w:val="17"/>
        </w:rPr>
        <w:t>Cousins Properties FY 2026 Earnings Guidance and BMO Capital Upgrade, Investing.com / Ticker Report, 2026</w:t>
      </w:r>
    </w:p>
    <w:p>
      <w:pPr>
        <w:spacing w:before="20" w:after="20"/>
        <w:ind w:left="170"/>
      </w:pPr>
      <w:r>
        <w:rPr>
          <w:rFonts w:ascii="Calibri" w:hAnsi="Calibri"/>
          <w:b/>
          <w:color w:val="4A6B25"/>
          <w:sz w:val="15"/>
        </w:rPr>
        <w:t xml:space="preserve">4. </w:t>
      </w:r>
      <w:r>
        <w:rPr>
          <w:rFonts w:ascii="Calibri" w:hAnsi="Calibri"/>
          <w:b w:val="0"/>
          <w:color w:val="3A4A28"/>
          <w:sz w:val="17"/>
        </w:rPr>
        <w:t>Cousins Properties corporate website, cousins.com, and March 2026 Investor Deck</w:t>
      </w:r>
    </w:p>
    <w:p>
      <w:pPr>
        <w:spacing w:before="20" w:after="20"/>
        <w:ind w:left="170"/>
      </w:pPr>
      <w:r>
        <w:rPr>
          <w:rFonts w:ascii="Calibri" w:hAnsi="Calibri"/>
          <w:b/>
          <w:color w:val="4A6B25"/>
          <w:sz w:val="15"/>
        </w:rPr>
        <w:t xml:space="preserve">5. </w:t>
      </w:r>
      <w:r>
        <w:rPr>
          <w:rFonts w:ascii="Calibri" w:hAnsi="Calibri"/>
          <w:b w:val="0"/>
          <w:color w:val="3A4A28"/>
          <w:sz w:val="17"/>
        </w:rPr>
        <w:t>Cousins Properties Sustainalytics ESG Risk Rating and GRESB Green Star designation</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CUZ (Cousins Properties),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