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CVBF</w:t>
      </w:r>
      <w:r>
        <w:rPr>
          <w:rFonts w:ascii="Calibri" w:hAnsi="Calibri"/>
          <w:b/>
          <w:color w:val="1A2010"/>
          <w:sz w:val="40"/>
        </w:rPr>
        <w:t xml:space="preserve">  CVB Financial Corp.</w:t>
      </w:r>
    </w:p>
    <w:p>
      <w:pPr>
        <w:spacing w:after="120"/>
      </w:pPr>
      <w:r>
        <w:rPr>
          <w:rFonts w:ascii="Calibri" w:hAnsi="Calibri"/>
          <w:b/>
          <w:color w:val="6E8450"/>
          <w:sz w:val="18"/>
        </w:rPr>
        <w:t>DIVIDEND SLEEVE · 2026-04-26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CVB Financial Corp. is the holding company for Citizens Business Bank, a California state-chartered bank providing commercial banking, lending, and trust services to small and mid-sized businesses and individuals. The bank operates over 60 banking centers across California with $20B+ in total assets following the Heritage Commerce Corp acquisition.</w:t>
      </w:r>
    </w:p>
    <w:p>
      <w:r>
        <w:rPr>
          <w:rFonts w:ascii="Calibri" w:hAnsi="Calibri"/>
          <w:b/>
          <w:color w:val="6E8450"/>
          <w:sz w:val="18"/>
        </w:rPr>
        <w:t>1,079 Employees · https://www.cbbank.com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CVB Financial completed its largest acquisition — Heritage Commerce Corp — on April 17, 2026, expanding into the Bay Area and crossing $20B in total assets [1]. This is a meaningful strategic move but represents traditional bank M&amp;A rather than product innovation. Revenue has been essentially flat, declining from $552.8M in 2022 to $515.5M in 2025. AI Deployment (0/2): No evidence of AI-powered products or measurable AI-driven cost savings in any public disclosures. The bank operates a traditional commercial banking model with standard digital banking capabilities [2]. Market Share (2/2): Citizens Business Bank is one of the 10 largest bank holding companies headquartered in California and was recognized by Forbes as a Best Bank in America for 2026 [1]. Consistent recognition as a top-performing bank nationally demonstrates sustained competitive positioning. Pipeline (1/2): The Heritage Commerce acquisition provides clear near-term revenue visibility through Bay Area market penetration, though organic growth has been modest at 2.4% average deposit growth [1]. R&amp;D Intensity (0/1): Banking industry R&amp;D spending is minimal; no evidence of above-average technology investment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Citizens Business Bank positions itself as a community-focused business bank committed to serving small and mid-sized businesses across California, which is clear but not distinctive — interchangeable with most regional banks [3]. Community Impact (1/2): The bank's 60+ banking centers serve communities across California, and its focus on small business and agribusiness lending contributes to local economic development. The Heritage Commerce acquisition extends community banking into the Bay Area [1]. Employee Retention (1/2): CEO David Brager has 35+ years of banking experience and was promoted from within in 2020, suggesting organizational continuity. The leadership team shows long tenures, though no specific voluntary turnover data is available [2]. Insider Buying (0/2): No specific insider buying data found in research; no evidence of meaningful net insider purchases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CVB Financial shows a classic community bank profile — highly profitable but low growth. Q1 2026 net income was $51.0M with net interest income of $117.8M [1]. Profit margin of 40.3% is exceptional for a regional bank, and forward P/E of 10.7x reflects an attractive valuation [4]. However, ROE of 9.2% falls below the 15% target, and revenue has declined from $552.8M (2022) to $515.5M (2025), yielding a negative 5yr CAGR of approximately -2.3% [4]. The dividend has been stable at $0.80/year (paid consistently for 34+ years) but shows zero growth — the $0.20/quarter rate has been flat [4]. Payout ratio of 52.3% is manageable. The Heritage Commerce acquisition should boost the asset base and revenue starting Q2 2026. Liquidity floor cleared: 1.66M avg volume × $20.06 = $33.3M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CVB Financial plays a steady, long-term game — 50+ years of community banking with consistent profitability and a patient acquisition strategy. The Heritage Commerce deal shows strategic patience rather than quarterly earnings optimization. However, the flat dividend and lack of organic growth innovation suggest a company that is maintaining rather than advancing its position.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Citizens Business Bank's purpose — serving small and mid-sized businesses across California — is clear and genuine but not distinctive or inspiring beyond its industry [3]. The bank has operated with this focus for over 50 years, showing consistency, but the cause doesn't articulate a vision of a better future that differentiates from any other community bank (1 pt).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David Brager was promoted from within in 2020 after 35+ years of banking experience, and the leadership team shows long tenures with CFO Allen Nicholson having 25+ years of financial leadership [2]. The internal promotion pattern and stable management team suggest adequate organizational trust, though no specific employee satisfaction or cultural data was found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Heritage Commerce acquisition demonstrates CVB Financial's recognition that Bay Area market access required a strategic partnership rather than organic competition. Management's decision to expand through acquisition rather than attempting to compete directly against established Bay Area banks shows a learning-oriented competitive approach, using a rival's established market presence to strengthen its own position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Heritage Commerce acquisition represents meaningful strategic evolution — expanding from a Southern/Central California community bank into the Bay Area and crossing the $20B asset threshold [1]. This is incremental flexibility (entering an adjacent market) rather than transformative reinvention, but it shows willingness to evolve the business model through strategic M&amp;A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Completing the Heritage Commerce acquisition — CVB Financial's largest by asset size — during a period of banking sector uncertainty demonstrates some willingness to invest for the long term [1]. The bank has maintained its community-focused lending model through multiple economic cycles rather than chasing higher-risk lending categories. However, the flat dividend despite consistent profitability suggests conservative capital allocation that may not serve shareholders optimally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CVB Financial Corp. is a well-run California community bank trading at an attractive 10.7x forward P/E with a 4.0% dividend yield and exceptional 40.3% profit margin [4]. Q1 2026 net income of $51.0M was stable YoY with loan growth of 3.3% and deposit growth of 2.4% [1]. The Heritage Commerce Corp acquisition closed April 17, 2026, expanding Citizens Business Bank into the Bay Area and pushing total assets above $20B, making CVBF one of the 10 largest California-headquartered bank holding companies [1]. Forbes recognized Citizens Business Bank as a Best Bank in America for 2026, validating its operational excellence [1]. The acquisition provides a clear catalyst for revenue and earnings growth in the second half of 2026.</w:t>
      </w:r>
    </w:p>
    <w:p>
      <w:pPr>
        <w:spacing w:after="120"/>
      </w:pPr>
      <w:r>
        <w:rPr>
          <w:rFonts w:ascii="Calibri" w:hAnsi="Calibri"/>
          <w:b w:val="0"/>
          <w:color w:val="3A4A28"/>
          <w:sz w:val="20"/>
        </w:rPr>
        <w:t>The bear case centers on stagnant organic growth and a flat dividend. Revenue declined from $552.8M in 2022 to $515.5M in 2025, a -2.3% CAGR reflecting net interest margin compression in the post-rate-hike environment [4]. ROE of 9.2% is below average for a well-run community bank. The quarterly dividend has been frozen at $0.20 for years, showing zero dividend growth despite consistent profitability — a red flag for dividend growth investors. The Heritage Commerce integration carries execution risk, including potential loan portfolio quality issues and customer attrition. Net interest income declined 3.9% sequentially in Q1 2026 [1]. The bank's concentration in California commercial real estate exposes it to regional economic risks, and the &gt;$20B asset threshold triggers enhanced regulatory scrutiny under the Dodd-Frank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Heritage Commerce Corp acquisition integration — expanding into Bay Area markets and growing assets to $20B+, with revenue synergies expected in H2 2026 [1]</w:t>
      </w:r>
    </w:p>
    <w:p>
      <w:pPr>
        <w:spacing w:before="40" w:after="40"/>
        <w:ind w:left="283"/>
      </w:pPr>
      <w:r>
        <w:rPr>
          <w:rFonts w:ascii="Calibri" w:hAnsi="Calibri"/>
          <w:b/>
          <w:color w:val="4A6B25"/>
          <w:sz w:val="20"/>
        </w:rPr>
        <w:t xml:space="preserve">2. </w:t>
      </w:r>
      <w:r>
        <w:rPr>
          <w:rFonts w:ascii="Calibri" w:hAnsi="Calibri"/>
          <w:b w:val="0"/>
          <w:color w:val="3A4A28"/>
          <w:sz w:val="20"/>
        </w:rPr>
        <w:t>Net interest margin recovery as rate environment stabilizes, potentially driving net interest income growth from the $117.8M Q1 base [1]</w:t>
      </w:r>
    </w:p>
    <w:p>
      <w:pPr>
        <w:spacing w:before="40" w:after="40"/>
        <w:ind w:left="283"/>
      </w:pPr>
      <w:r>
        <w:rPr>
          <w:rFonts w:ascii="Calibri" w:hAnsi="Calibri"/>
          <w:b/>
          <w:color w:val="4A6B25"/>
          <w:sz w:val="20"/>
        </w:rPr>
        <w:t xml:space="preserve">3. </w:t>
      </w:r>
      <w:r>
        <w:rPr>
          <w:rFonts w:ascii="Calibri" w:hAnsi="Calibri"/>
          <w:b w:val="0"/>
          <w:color w:val="3A4A28"/>
          <w:sz w:val="20"/>
        </w:rPr>
        <w:t>Forbes Best Bank in America recognition and consistent profitability position CVBF for potential dividend increase after Heritage integration is complete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Heritage Commerce integration execution risk — the largest acquisition in CVBF history could face loan portfolio quality issues, customer attrition, and cultural integration challenges [1]</w:t>
      </w:r>
    </w:p>
    <w:p>
      <w:pPr>
        <w:spacing w:before="40" w:after="40"/>
        <w:ind w:left="283"/>
      </w:pPr>
      <w:r>
        <w:rPr>
          <w:rFonts w:ascii="Calibri" w:hAnsi="Calibri"/>
          <w:b/>
          <w:color w:val="4A6B25"/>
          <w:sz w:val="20"/>
        </w:rPr>
        <w:t xml:space="preserve">2. </w:t>
      </w:r>
      <w:r>
        <w:rPr>
          <w:rFonts w:ascii="Calibri" w:hAnsi="Calibri"/>
          <w:b w:val="0"/>
          <w:color w:val="3A4A28"/>
          <w:sz w:val="20"/>
        </w:rPr>
        <w:t>Stagnant dividend growth — the quarterly dividend has been flat at $0.20 for years despite consistent profitability, suggesting capital allocation misalignment with shareholder expectations [4]</w:t>
      </w:r>
    </w:p>
    <w:p>
      <w:pPr>
        <w:spacing w:before="40" w:after="40"/>
        <w:ind w:left="283"/>
      </w:pPr>
      <w:r>
        <w:rPr>
          <w:rFonts w:ascii="Calibri" w:hAnsi="Calibri"/>
          <w:b/>
          <w:color w:val="4A6B25"/>
          <w:sz w:val="20"/>
        </w:rPr>
        <w:t xml:space="preserve">3. </w:t>
      </w:r>
      <w:r>
        <w:rPr>
          <w:rFonts w:ascii="Calibri" w:hAnsi="Calibri"/>
          <w:b w:val="0"/>
          <w:color w:val="3A4A28"/>
          <w:sz w:val="20"/>
        </w:rPr>
        <w:t>California commercial real estate concentration creates regional economic vulnerability, particularly if CRE values decline or vacancy rates increase in the bank's core markets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Community banking is substantially protected from AI disruption — Citizens Business Bank's core business of relationship-based commercial lending, agribusiness finance, and small business banking requires local knowledge, relationship management, and regulatory compliance that AI cannot easily replicate [3]. The Heritage Commerce acquisition and 60+ physical banking centers create a distribution moat. However, AI-powered fintech lenders and digital banks could gradually erode commodity banking products like deposits and consumer lending. Regulatory requirements (FDIC, state banking charters) provide additional structural protection [1]. AI Opportunity (0/1): No evidence of AI-generated revenue. The bank has not disclosed AI-powered products or quantifiable AI-driven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CVB Financial Corp. Q1 2026 Earnings Release — $51.0M net income, Heritage Commerce Corp acquisition closed April 17, 2026</w:t>
      </w:r>
    </w:p>
    <w:p>
      <w:pPr>
        <w:spacing w:before="20" w:after="20"/>
        <w:ind w:left="170"/>
      </w:pPr>
      <w:r>
        <w:rPr>
          <w:rFonts w:ascii="Calibri" w:hAnsi="Calibri"/>
          <w:b/>
          <w:color w:val="4A6B25"/>
          <w:sz w:val="15"/>
        </w:rPr>
        <w:t xml:space="preserve">2. </w:t>
      </w:r>
      <w:r>
        <w:rPr>
          <w:rFonts w:ascii="Calibri" w:hAnsi="Calibri"/>
          <w:b w:val="0"/>
          <w:color w:val="3A4A28"/>
          <w:sz w:val="17"/>
        </w:rPr>
        <w:t>CVB Financial Corp. leadership team and corporate profile — CEO David Brager, 35+ years banking experience</w:t>
      </w:r>
    </w:p>
    <w:p>
      <w:pPr>
        <w:spacing w:before="20" w:after="20"/>
        <w:ind w:left="170"/>
      </w:pPr>
      <w:r>
        <w:rPr>
          <w:rFonts w:ascii="Calibri" w:hAnsi="Calibri"/>
          <w:b/>
          <w:color w:val="4A6B25"/>
          <w:sz w:val="15"/>
        </w:rPr>
        <w:t xml:space="preserve">3. </w:t>
      </w:r>
      <w:r>
        <w:rPr>
          <w:rFonts w:ascii="Calibri" w:hAnsi="Calibri"/>
          <w:b w:val="0"/>
          <w:color w:val="3A4A28"/>
          <w:sz w:val="17"/>
        </w:rPr>
        <w:t>Citizens Business Bank corporate website — community banking mission, 60+ banking centers, product portfolio</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CVBF,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