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CVE</w:t>
      </w:r>
      <w:r>
        <w:rPr>
          <w:rFonts w:ascii="Calibri" w:hAnsi="Calibri"/>
          <w:b/>
          <w:color w:val="1A2010"/>
          <w:sz w:val="40"/>
        </w:rPr>
        <w:t xml:space="preserve">  Cenovus Energy Inc.</w:t>
      </w:r>
    </w:p>
    <w:p>
      <w:pPr>
        <w:spacing w:after="120"/>
      </w:pPr>
      <w:r>
        <w:rPr>
          <w:rFonts w:ascii="Calibri" w:hAnsi="Calibri"/>
          <w:b/>
          <w:color w:val="6E8450"/>
          <w:sz w:val="18"/>
        </w:rPr>
        <w:t>DIVIDEND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Canada</w:t>
      </w:r>
    </w:p>
    <w:p>
      <w:pPr>
        <w:spacing w:after="80"/>
      </w:pPr>
      <w:r>
        <w:rPr>
          <w:rFonts w:ascii="Calibri" w:hAnsi="Calibri"/>
          <w:b w:val="0"/>
          <w:color w:val="3A4A28"/>
          <w:sz w:val="20"/>
        </w:rPr>
        <w:t>Cenovus Energy is a Canadian integrated oil company with operations spanning oil sands production (oil sands bitumen and synthetic crude at Foster Creek, Christina Lake, and other assets), conventional oil and gas in Alberta, and refining operations in the United States. The company achieved record Q4 2025 upstream production of 917,900 BOE/d including record oil sands output of 726,600 BOE/d. Net debt was $8.3B at year-end 2025, with management targeting a long-term reduction to $4.0B.</w:t>
      </w:r>
    </w:p>
    <w:p>
      <w:r>
        <w:rPr>
          <w:rFonts w:ascii="Calibri" w:hAnsi="Calibri"/>
          <w:b/>
          <w:color w:val="6E8450"/>
          <w:sz w:val="18"/>
        </w:rPr>
        <w:t>19,000 Employees · https://www.cenovus.com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Cenovus earns 1/3 on Innovation Track Record: the Foster Creek optimization project delivered 30,000 bbls/d of incremental production ahead of schedule — a meaningful operational achievement — and the MEG acquisition added significant capacity [1]. These are execution wins in an established business rather than transformative innovations. AI Deployment scores 1/2: Cenovus uses AI-driven production optimization and reservoir management tools; specific savings not publicly quantified but operationally embedded [2]. Market Share scores 1/2: Cenovus is Canada's second-largest oil producer with the largest oil sands production base after Canadian Natural Resources. Pipeline scores 1/2: Christina Lake North expansion targeting 40,000 bbls/d by 2028 has specific capacity and timeline [1]. R&amp;D scores 0/1: integrated oil companies invest below technology sector average in R&amp;D. Total: 1+1+1+1+0 =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Cenovus's purpose — responsibly developing oil sands and conventional energy resources to meet global energy demand — is functional and clear but not transformative [2]. Mission floor scores 2/4. Community impact scores 1/2: the company has significant Indigenous partnership programs in Alberta, particularly around its oil sands operations, with formal community agreements and economic sharing. Employee retention scores 1/2: oil sands operations require highly specialized workforce with above-average technical retention; stable employment patterns in Fort McMurray operations. Insider buying scores 0/2: Canadian oil executives typically hold equity grants; no evidence of significant discretionary insider purchases beyond standard compensation. Total: 2+1+1+0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CVE is a dividend stock. D/E: net debt $8.3B; total equity estimated ~$30B; D/E ~28%: (300-28)/(300-70)=1.18→1.0; ROE: TTM EPS $1.23 on ~$30 stock, equity ~$30B; ROE ~8%: (8-0)/(15-0)=0.533; Rev growth YoY: revenue declined ~8-12% YoY due to oil price decline: use -10%: (-10-(-20))/(10-(-20))=0.333; Rev 5yr CAGR ~10% (post-MEG acquisition): 1.0; Fwd PE: ~$13 stock / ~$1.50 forward EPS = Fwd PE 8.7: 1.0; Profit margin: EPS $1.23 on revenue ~$36B; margin ~3.4%: (3.4-0)/(20-0)=0.17; Payout ratio: annual dividend $0.80 vs EPS ~$1.23 = 65%: (100-65)/(100-40)=0.583 ×1; Consecutive years paid ~12: 1.0 ×2; Consecutive years growth ~5: 0.5 ×1; 5yr div growth CAGR ~10% (significant growth since 2021): 1.0 ×2. Weighted sum: D/E(1×1.0)+ROE(1×0.533)+RevYoY(1×0.333)+Rev5yr(1×1.0)+FwdPE(1×1.0)+Margin(1×0.17)+Payout(1×0.583)+ConsecPaid(2×1.0)+ConsecGrowth(1×0.5)+DivCAGR(2×1.0)=1.0+0.533+0.333+1.0+1.0+0.17+0.583+2.0+0.5+2.0=9.119/12=0.760 → score 8. Discount to 5 given revenue decline trajectory and high absolute debt ($8.3B) with $15B LTDB.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Cenovus's long-term net debt target of $4B and multi-decade oil sands asset life suggest some long-term orientation. However, the company's strategy is primarily driven by commodity cycle management, and the long-term secular risk of the energy transition creates finite-game pressures around capital allocation. The MEG acquisition in 2025 shows willingness to make bold long-term bets.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Cenovus articulates a purpose around responsible energy development — producing Canadian energy to serve global demand while reducing environmental intensity — that is thoughtful but not transformative [2]. Scores 1/3: the cause is genuine but primarily functional.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Jon McKenzie and the Cenovus management team have demonstrated stable long-term leadership through commodity cycles. The company maintains specialized workforces in Fort McMurray and refining centers with above-average retention for the oil sands sector [1]. Scores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Cenovus benchmarks against Canadian Natural Resources and Suncor but the competitive language is primarily about production efficiency and cost metrics rather than learning from rivals' strengths. Finite competitive mindset in a commodity business. Scores 0/1.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MEG acquisition and Christina Lake North expansion demonstrate strategic investment in the oil sands model — significant capital commitment to an established business rather than transformative flexibility [1]. Incremental adaptation. Scores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11% dividend increase despite elevated net debt and declining revenue reflects confidence in long-term cash generation — a courageous capital allocation signal [1].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Cenovus offers a compelling combination of record operational performance (917,900 BOE/d Q4 production, 98% refinery utilization) and deep value at ~8.7× forward earnings [1]. The 11% dividend increase signals management confidence in sustainable cash generation, and $1.1B in Q4 shareholder returns demonstrates capital discipline. The Christina Lake North expansion (40,000 bbls/d by 2028) and $150M+ MEG synergies provide visible earnings growth catalysts. The oil sands asset base has a multi-decade productive life, making Cenovus a long-duration cash flow generator.</w:t>
      </w:r>
    </w:p>
    <w:p>
      <w:pPr>
        <w:spacing w:after="120"/>
      </w:pPr>
      <w:r>
        <w:rPr>
          <w:rFonts w:ascii="Calibri" w:hAnsi="Calibri"/>
          <w:b w:val="0"/>
          <w:color w:val="3A4A28"/>
          <w:sz w:val="20"/>
        </w:rPr>
        <w:t>The bear case centers on oil price sensitivity and debt: revenue declined ~10% YoY in 2025 as crude prices fell, and net debt of $8.3B remains significantly above the $4B target [1]. Morningstar assumes WTI averaging $62/barrel in 2025 and $58 in 2026 — at lower prices, free cash flow compresses materially. The oil sands royalty structure and refining cost complexity create earnings volatility. Long-term energy transition risk is real but on a 20-30 year horizon given global oil demand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Christina Lake turnaround completion in H2 2026 — restoring production to record rates would enable full-year output guidance achievement</w:t>
      </w:r>
    </w:p>
    <w:p>
      <w:pPr>
        <w:spacing w:before="40" w:after="40"/>
        <w:ind w:left="283"/>
      </w:pPr>
      <w:r>
        <w:rPr>
          <w:rFonts w:ascii="Calibri" w:hAnsi="Calibri"/>
          <w:b/>
          <w:color w:val="4A6B25"/>
          <w:sz w:val="20"/>
        </w:rPr>
        <w:t xml:space="preserve">2. </w:t>
      </w:r>
      <w:r>
        <w:rPr>
          <w:rFonts w:ascii="Calibri" w:hAnsi="Calibri"/>
          <w:b w:val="0"/>
          <w:color w:val="3A4A28"/>
          <w:sz w:val="20"/>
        </w:rPr>
        <w:t>MEG synergy realization of $150M in 2026-2027 growing to $400M+ by 2028 — direct EBITDA accretion from the acquisition</w:t>
      </w:r>
    </w:p>
    <w:p>
      <w:pPr>
        <w:spacing w:before="40" w:after="40"/>
        <w:ind w:left="283"/>
      </w:pPr>
      <w:r>
        <w:rPr>
          <w:rFonts w:ascii="Calibri" w:hAnsi="Calibri"/>
          <w:b/>
          <w:color w:val="4A6B25"/>
          <w:sz w:val="20"/>
        </w:rPr>
        <w:t xml:space="preserve">3. </w:t>
      </w:r>
      <w:r>
        <w:rPr>
          <w:rFonts w:ascii="Calibri" w:hAnsi="Calibri"/>
          <w:b w:val="0"/>
          <w:color w:val="3A4A28"/>
          <w:sz w:val="20"/>
        </w:rPr>
        <w:t>Net debt reduction toward $4B target — each billion in debt reduction improves dividend sustainability and enables increased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WTI crude price below $55/barrel would materially compress free cash flow and strain the $0.80 annual dividend commitment given the current $8.3B net debt</w:t>
      </w:r>
    </w:p>
    <w:p>
      <w:pPr>
        <w:spacing w:before="40" w:after="40"/>
        <w:ind w:left="283"/>
      </w:pPr>
      <w:r>
        <w:rPr>
          <w:rFonts w:ascii="Calibri" w:hAnsi="Calibri"/>
          <w:b/>
          <w:color w:val="4A6B25"/>
          <w:sz w:val="20"/>
        </w:rPr>
        <w:t xml:space="preserve">2. </w:t>
      </w:r>
      <w:r>
        <w:rPr>
          <w:rFonts w:ascii="Calibri" w:hAnsi="Calibri"/>
          <w:b w:val="0"/>
          <w:color w:val="3A4A28"/>
          <w:sz w:val="20"/>
        </w:rPr>
        <w:t>Oil sands production royalty ratchet: high oil prices trigger increased royalty payments that reduce free cash flow, while low prices squeeze margins — a structural catch-22</w:t>
      </w:r>
    </w:p>
    <w:p>
      <w:pPr>
        <w:spacing w:before="40" w:after="40"/>
        <w:ind w:left="283"/>
      </w:pPr>
      <w:r>
        <w:rPr>
          <w:rFonts w:ascii="Calibri" w:hAnsi="Calibri"/>
          <w:b/>
          <w:color w:val="4A6B25"/>
          <w:sz w:val="20"/>
        </w:rPr>
        <w:t xml:space="preserve">3. </w:t>
      </w:r>
      <w:r>
        <w:rPr>
          <w:rFonts w:ascii="Calibri" w:hAnsi="Calibri"/>
          <w:b w:val="0"/>
          <w:color w:val="3A4A28"/>
          <w:sz w:val="20"/>
        </w:rPr>
        <w:t>Canadian regulatory risk: Alberta pipeline constraints and environmental regulation around oil sands mining could restrict production growth or increase operating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Cenovus's oil sands and refining operations are fundamentally physical-world activities immune to AI substitution [1]. Extracting bitumen from oil sands, upgrading it into synthetic crude, and refining petroleum products are capital-intensive industrial processes that AI cannot replace. AI enhances operational optimization (reservoir management, predictive maintenance, throughput optimization) but does not threaten the core business model. Analysts have not flagged AI disruption risk for oil sands producers. Earns 8/9 on AI Risk Protection (immune physical operations), 0/1 on AI Opportunity.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Cenovus Q4 2025 Earnings Release — cenovus.com, 2026</w:t>
      </w:r>
    </w:p>
    <w:p>
      <w:pPr>
        <w:spacing w:before="20" w:after="20"/>
        <w:ind w:left="170"/>
      </w:pPr>
      <w:r>
        <w:rPr>
          <w:rFonts w:ascii="Calibri" w:hAnsi="Calibri"/>
          <w:b/>
          <w:color w:val="4A6B25"/>
          <w:sz w:val="15"/>
        </w:rPr>
        <w:t xml:space="preserve">2. </w:t>
      </w:r>
      <w:r>
        <w:rPr>
          <w:rFonts w:ascii="Calibri" w:hAnsi="Calibri"/>
          <w:b w:val="0"/>
          <w:color w:val="3A4A28"/>
          <w:sz w:val="17"/>
        </w:rPr>
        <w:t>Cenovus 2026 Capital Budget and Corporate Guidance — cenovus.com, 2025</w:t>
      </w:r>
    </w:p>
    <w:p>
      <w:pPr>
        <w:spacing w:before="20" w:after="20"/>
        <w:ind w:left="170"/>
      </w:pPr>
      <w:r>
        <w:rPr>
          <w:rFonts w:ascii="Calibri" w:hAnsi="Calibri"/>
          <w:b/>
          <w:color w:val="4A6B25"/>
          <w:sz w:val="15"/>
        </w:rPr>
        <w:t xml:space="preserve">3. </w:t>
      </w:r>
      <w:r>
        <w:rPr>
          <w:rFonts w:ascii="Calibri" w:hAnsi="Calibri"/>
          <w:b w:val="0"/>
          <w:color w:val="3A4A28"/>
          <w:sz w:val="17"/>
        </w:rPr>
        <w:t>MacroTrends, 'Cenovus Energy Inc Revenue 2012-2025',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StockTitan, 'Cenovus 2025 profit hits $3.9B on record output',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