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CVI</w:t>
      </w:r>
      <w:r>
        <w:rPr>
          <w:rFonts w:ascii="Calibri" w:hAnsi="Calibri"/>
          <w:b/>
          <w:color w:val="1A2010"/>
          <w:sz w:val="40"/>
        </w:rPr>
        <w:t xml:space="preserve">  CVR Energy, Inc.</w:t>
      </w:r>
    </w:p>
    <w:p>
      <w:pPr>
        <w:spacing w:after="120"/>
      </w:pPr>
      <w:r>
        <w:rPr>
          <w:rFonts w:ascii="Calibri" w:hAnsi="Calibri"/>
          <w:b/>
          <w:color w:val="6E8450"/>
          <w:sz w:val="18"/>
        </w:rPr>
        <w:t>DIVIDEND SLEEVE · 2026-04-26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CVR Energy is a diversified holding company engaged in petroleum refining, renewable fuels, and nitrogen fertilizer manufacturing. The company operates two crude oil refineries in Kansas and Oklahoma with combined throughput capacity of approximately 206,500 bpd, a renewable diesel facility, and two nitrogen fertilizer plants. CVR Energy is a subsidiary of Icahn Enterprises Holdings L.P.</w:t>
      </w:r>
    </w:p>
    <w:p>
      <w:r>
        <w:rPr>
          <w:rFonts w:ascii="Calibri" w:hAnsi="Calibri"/>
          <w:b/>
          <w:color w:val="6E8450"/>
          <w:sz w:val="18"/>
        </w:rPr>
        <w:t>1,532 Employees · https://www.cvrenergy.com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CVR Energy's FY2025 revenue of $7.16B declined 5.9% YoY from $7.61B, with net income collapsing to $27M from $7M the prior year (both deeply depressed versus $769M in 2023), reflecting the severe cyclical downturn in refining crack spreads [1]. The Renewables segment (renewable diesel) was a meaningful business model addition, though it has not meaningfully offset petroleum margin compression. AI Deployment (0/2): No evidence of AI-powered products or quantified AI-driven operational improvements; CVR operates traditional refining and fertilizer processes with no visible AI strategy [2]. Market Share (1/2): CVR is a meaningful mid-continent refiner with strategic positioning in the Group 3 region, but is not a market share leader — its two refineries are small relative to majors like Valero or Marathon [1]. Pipeline (1/2): The renewable diesel facility and nitrogen fertilizer operations provide some diversification pipeline, but no specific next-generation product launches or capacity expansions have been announced with concrete timelines [1]. R&amp;D Intensity (1/1): The renewables segment investment demonstrates above-average capital allocation toward energy transition capabilities relative to small refining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CVR Energy's stated purpose is generic — focused on operating petroleum refineries and fertilizer plants to generate returns. As a subsidiary of Icahn Enterprises, the company's strategic direction is driven by Carl Icahn's financial objectives rather than an independent corporate mission [2]. Community Impact (1/2): CVR provides essential transportation fuels and nitrogen fertilizers to agricultural communities in the mid-continent region, supporting rural economies in Kansas and Oklahoma with 1,532 jobs [3]. However, no significant charitable or community investment programs were identified. Employee Retention (0/2): Glassdoor rating of 3.3/5 with only 61% CEO approval and 60% employee recommendation rate suggests mediocre engagement; no evidence of exceptional retention or mission-driven culture [2]. Insider Buying (1/2): Carl Icahn purchased 783,404 shares in February 2026 at $20.75-$21.41/share ($16.4M), demonstrating meaningful conviction from the controlling shareholder [2]. However, this is Icahn's typical activist playbook rather than management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CVR Energy's financial profile reflects the deeply cyclical nature of refining. D/E of 203.7% is elevated (scoring 0.42), driven by refining industry capital intensity and Icahn's preference for leveraged structures [4]. ROE of 10.1% is below the 15% target but positive despite near-trough earnings. Revenue declined 5.9% YoY and the 3-year CAGR of -13.1% reflects the post-2022 crack spread normalization [1]. Forward P/E of 26.1x is elevated for a cyclical refiner, reflecting depressed near-term earnings expectations. Profit margin of 0.4% is near-zero, reflecting the trough of the refining cycle [4]. On dividend metrics, CVR has paid dividends for 12 consecutive years (scoring well at 2x weight), but with zero consecutive years of growth (variable/special dividend model) and no dividends since August 2024 suggesting effective suspension. The 5-year dividend CAGR of 5.7% nearly reaches the 6% target [4]. Liquidity floor easily cleared at $42.2M daily volume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CVR Energy operates as a fundamentally finite-game player, controlled by Carl Icahn's activist investment strategy that prioritizes capital extraction over long-term capability building. The variable dividend model, leveraged balance sheet, and lack of transformative strategic vision reflect a company optimized for near-term cash returns rather than enduring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CVR Energy exists to generate returns for Icahn Enterprises, its controlling shareholder. There is no articulated just cause beyond financial performance — the company's strategy is driven by Icahn's investment thesis of value extraction from energy assets [2]. The recent CEO transition from David Lamp to Mark Pytosh reflects Icahn's management rotation pattern rather than cause-driven leadership succession.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1,532 employees and a Glassdoor rating of 3.3/5, CVR maintains an adequate but unremarkable workplace culture [2]. The 61% CEO approval and 60% recommendation rate suggest employees are neither deeply engaged nor actively disengaged. Refinery operations require stable, experienced crews, and CVR appears to maintain functional operations, but there is no evidence of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CVR Energy's competitive language is purely financial — focused on crack spreads, throughput optimization, and capital returns rather than learning from competitors [1]. As an Icahn-controlled entity, the competitive posture is inherently finite: extract maximum value from existing assets rather than improve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addition of the renewable diesel segment demonstrates incremental strategic flexibility — CVR adapted to energy transition pressures by adding renewable fuels capability alongside traditional refining [1]. However, this was an incremental adjacency move rather than a transformative reinvention, and the renewables segment remains small relative to the core petroleum business.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Under Icahn's control, CVR's capital allocation prioritizes extraction over investment — the variable dividend model paid out $4.80/share in 2022 and $4.50 in 2023 when crack spreads were high, but suspended dividends entirely when margins compressed [4]. No evidence of courageous long-term investment decisions that sacrifice near-term returns for future capability. The $75M term loan prepayment represents prudent deleveraging, not strategic courage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CVR Energy offers deep value characteristics at a forward P/E of 26.1x (elevated due to trough earnings) with Carl Icahn's $16.4M insider purchase in February 2026 signaling conviction in a cyclical recovery [2]. The company's mid-continent refining position and nitrogen fertilizer diversification provide exposure to both energy and agricultural commodity cycles. When crack spreads normalize, CVR has demonstrated the ability to generate substantial cash flow — $769M net income in 2023 on $9.25B revenue, versus just $27M in 2025 on $7.16B [1]. The renewable diesel segment provides optionality on energy transition, and the PEG ratio of 0.71 suggests the market is pricing in a meaningful earnings recovery. At $31.52/share, CVR trades well below its 52-week high of $41.67, offering significant upside if refining margins improve [4].</w:t>
      </w:r>
    </w:p>
    <w:p>
      <w:pPr>
        <w:spacing w:after="120"/>
      </w:pPr>
      <w:r>
        <w:rPr>
          <w:rFonts w:ascii="Calibri" w:hAnsi="Calibri"/>
          <w:b w:val="0"/>
          <w:color w:val="3A4A28"/>
          <w:sz w:val="20"/>
        </w:rPr>
        <w:t>The bear case centers on structural decline and governance risk. Revenue has contracted from $10.9B in 2022 to $7.16B in 2025, a 34% decline over three years reflecting both crack spread normalization and secular demand headwinds for petroleum products [1]. Profit margin of 0.4% is essentially breakeven, and the trailing P/E of 116.7x reflects near-zero earnings power at current refining margins. D/E of 203.7% creates meaningful financial risk during prolonged margin troughs. Dividends appear effectively suspended since August 2024, undermining the income thesis — the variable dividend model means shareholders only receive cash when crack spreads are elevated [4]. ESG-related funding constraints and energy transition policies threaten long-term asset values, with Sustainalytics rating CVR's ESG risk management as 'Weak' [3]. Icahn's controlling ownership introduces governance risk — strategic decisions are driven by the controlling shareholder's financial objectives rather than independent corporate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crack spread recovery from cyclical trough would dramatically improve earnings — 2023 demonstrated $769M net income capability at favorable margins [1]</w:t>
      </w:r>
    </w:p>
    <w:p>
      <w:pPr>
        <w:spacing w:before="40" w:after="40"/>
        <w:ind w:left="283"/>
      </w:pPr>
      <w:r>
        <w:rPr>
          <w:rFonts w:ascii="Calibri" w:hAnsi="Calibri"/>
          <w:b/>
          <w:color w:val="4A6B25"/>
          <w:sz w:val="20"/>
        </w:rPr>
        <w:t xml:space="preserve">2. </w:t>
      </w:r>
      <w:r>
        <w:rPr>
          <w:rFonts w:ascii="Calibri" w:hAnsi="Calibri"/>
          <w:b w:val="0"/>
          <w:color w:val="3A4A28"/>
          <w:sz w:val="20"/>
        </w:rPr>
        <w:t>Carl Icahn's $16.4M share purchase in February 2026 signals activist conviction in near-term value realization [2]</w:t>
      </w:r>
    </w:p>
    <w:p>
      <w:pPr>
        <w:spacing w:before="40" w:after="40"/>
        <w:ind w:left="283"/>
      </w:pPr>
      <w:r>
        <w:rPr>
          <w:rFonts w:ascii="Calibri" w:hAnsi="Calibri"/>
          <w:b/>
          <w:color w:val="4A6B25"/>
          <w:sz w:val="20"/>
        </w:rPr>
        <w:t xml:space="preserve">3. </w:t>
      </w:r>
      <w:r>
        <w:rPr>
          <w:rFonts w:ascii="Calibri" w:hAnsi="Calibri"/>
          <w:b w:val="0"/>
          <w:color w:val="3A4A28"/>
          <w:sz w:val="20"/>
        </w:rPr>
        <w:t>Dividend reinstatement when earnings recover would re-establish the 4.7% yield thesis and attract income-focused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petroleum product demand from EV adoption and energy transition policies threatens long-term refining asset values [3]</w:t>
      </w:r>
    </w:p>
    <w:p>
      <w:pPr>
        <w:spacing w:before="40" w:after="40"/>
        <w:ind w:left="283"/>
      </w:pPr>
      <w:r>
        <w:rPr>
          <w:rFonts w:ascii="Calibri" w:hAnsi="Calibri"/>
          <w:b/>
          <w:color w:val="4A6B25"/>
          <w:sz w:val="20"/>
        </w:rPr>
        <w:t xml:space="preserve">2. </w:t>
      </w:r>
      <w:r>
        <w:rPr>
          <w:rFonts w:ascii="Calibri" w:hAnsi="Calibri"/>
          <w:b w:val="0"/>
          <w:color w:val="3A4A28"/>
          <w:sz w:val="20"/>
        </w:rPr>
        <w:t>Near-zero profit margins (0.4%) and effectively suspended dividends indicate the refining cycle may remain depressed longer than expected [1]</w:t>
      </w:r>
    </w:p>
    <w:p>
      <w:pPr>
        <w:spacing w:before="40" w:after="40"/>
        <w:ind w:left="283"/>
      </w:pPr>
      <w:r>
        <w:rPr>
          <w:rFonts w:ascii="Calibri" w:hAnsi="Calibri"/>
          <w:b/>
          <w:color w:val="4A6B25"/>
          <w:sz w:val="20"/>
        </w:rPr>
        <w:t xml:space="preserve">3. </w:t>
      </w:r>
      <w:r>
        <w:rPr>
          <w:rFonts w:ascii="Calibri" w:hAnsi="Calibri"/>
          <w:b w:val="0"/>
          <w:color w:val="3A4A28"/>
          <w:sz w:val="20"/>
        </w:rPr>
        <w:t>Icahn Enterprises governance structure — controlling shareholder priorities may not align with minority shareholder interests, as demonstrated by the variable dividend suspension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CVR Energy operates physical refining infrastructure and nitrogen fertilizer plants — assets that AI structurally cannot replace [2]. Petroleum refining involves complex chemical processes, physical plant operations, and regulatory compliance that require human oversight and physical-world execution. The nitrogen fertilizer business serves agricultural customers with essential crop inputs that have no AI substitute. Refining margins are driven by crude oil spreads and product demand, not by knowledge work that AI could automate. If anything, AI-driven energy demand growth (data centers) could support transportation fuel and power generation demand [2]. AI Opportunity (0/1): No evidence of meaningful AI revenue generation. CVR has not deployed AI-powered products or services, and the refining/fertilizer business model does not lend itself to AI monetization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CVR Energy FY2025 and historical financials — $7.16B revenue, $27M net income, via Macrotrends and Nasdaq,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CVR Energy leadership, Glassdoor reviews (3.3/5), Carl Icahn $16.4M insider purchase February 2026,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CVR Energy rated 'Weak' on ESG material risk management,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CVI (CVR Energy),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