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CVS</w:t>
      </w:r>
      <w:r>
        <w:rPr>
          <w:rFonts w:ascii="Calibri" w:hAnsi="Calibri"/>
          <w:b/>
          <w:color w:val="1A2010"/>
          <w:sz w:val="40"/>
        </w:rPr>
        <w:t xml:space="preserve">  CVS Health Corporation</w:t>
      </w:r>
    </w:p>
    <w:p>
      <w:pPr>
        <w:spacing w:after="120"/>
      </w:pPr>
      <w:r>
        <w:rPr>
          <w:rFonts w:ascii="Calibri" w:hAnsi="Calibri"/>
          <w:b/>
          <w:color w:val="6E8450"/>
          <w:sz w:val="18"/>
        </w:rPr>
        <w:t>DIVIDEND SLEEVE · 2026-03-27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CVS Health Corporation provides health solutions through its Health Care Benefits (Aetna), Health Services (Caremark PBM), and Pharmacy &amp; Consumer Wellness segments. The company operates over 9,000 retail locations and serves more than 100 million people across the U.S.</w:t>
      </w:r>
    </w:p>
    <w:p>
      <w:r>
        <w:rPr>
          <w:rFonts w:ascii="Calibri" w:hAnsi="Calibri"/>
          <w:b/>
          <w:color w:val="6E8450"/>
          <w:sz w:val="18"/>
        </w:rPr>
        <w:t>219,000 Employees · https://www.cvshealth.com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CVS is investing $20 billion in technology over the next decade, deploying AI across care management, claims adjudication, and customer engagement [1][2]. AI-driven call preparation has reduced nurse practitioner prep time by 40%, and benefit prediction technology has cut call handling time by 20-30% [2]. The company's 'engagement as a service' digital strategy positions technology as a core growth driver rather than a back-office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CVS's Healthy 2030 strategy targets a more equitable healthcare system, and approximately 78% of MinuteClinic mental health patients report reduced depression symptoms [3]. However, Glassdoor ratings of 3.2/5 with only 44% of employees recommending the company and persistent complaints about understaffing, layoffs, and lack of compassion for illness suggest meaningful cultural gaps [2]. CEO David Joyner's leadership team is rated in the top 40% for similar-sized companies but faces ongoing trust challenges.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CVS posted record FY2025 revenue of $402.1 billion (up 7.8%) and guides 2026 adjusted EPS of $7.00-$7.20, representing mid-teens growth [1]. However, trailing profit margin is anemic at 0.44% due to Aetna's IRA-related headwinds, and the payout ratio of 191% on trailing earnings is unsustainable though expected to normalize as earnings recover. The forward P/E of 8.7x is deeply discounted relative to healthcare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CVS demonstrates elements of infinite-game thinking through its Healthy 2030 sustainability strategy and $20B technology investment, but frequent leadership turnover, ongoing layoffs, and short-term margin pressures create tension between long-term vision and quarterly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Healthy 2030 framework articulates a purpose-driven mission around health equity and access, with initiatives in mental health, maternal health, and social determinants of health [3]. However, the recent exit from ACA exchanges to protect margins undercuts the accessibility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3.2/5 rating with 44% recommendation rate signals weak trust [2]. Persistent complaints about 'constant organizational changes and threats of layoffs' and 'no compassion for illness' suggest a compliance-driven rather than trust-driven culture, despite supportive individual managers.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CVS actively acknowledges Amazon as a formidable rival in healthcare and has responded by investing heavily in digital capabilities and omnichannel integration rather than simply defending its retail footprint [2]. The company's pivot to 'engagement as a service' reflects genuine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pivot from retail pharmacy to integrated health services platform — culminating in the Aetna acquisition and Oak Street Health — demonstrates willingness to fundamentally reinvent the business model [1]. The $20B technology commitment represents a bold bet on digital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CVS was an early mover in removing tobacco products (2014) and has committed to net-zero emissions by 2048 [3]. However, recent leadership instability, the ACA exit, and cost-cutting layoffs suggest courage is sometimes subordinated to near-term financial pressures.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CVS Health represents a compelling turnaround story trading at 8.7x forward earnings with a 3.7% dividend yield. The company's FY2025 record revenue of $402.1B and guided 2026 adjusted EPS of $7.00-$7.20 (mid-teens growth) are powered by Aetna's return to target 3-4% margins by 2028, Caremark's 9% revenue growth, and a $2B AI-driven cost savings initiative [1][2]. The integrated pharmacy-PBM-insurance model creates a defensive moat with 100M+ customer touchpoints.</w:t>
      </w:r>
    </w:p>
    <w:p>
      <w:pPr>
        <w:spacing w:after="120"/>
      </w:pPr>
      <w:r>
        <w:rPr>
          <w:rFonts w:ascii="Calibri" w:hAnsi="Calibri"/>
          <w:b w:val="0"/>
          <w:color w:val="3A4A28"/>
          <w:sz w:val="20"/>
        </w:rPr>
        <w:t>Bear case risks are substantial. The trailing P/E of 51x and 191% payout ratio reflect severely depressed 2025 earnings that may take multiple quarters to normalize. The company faces $20B in 2026 headwinds from ACA exit and drug pricing reform. PBM reform legislation could structurally impair the Caremark business model, while Amazon Pharmacy's expansion threatens the retail pharmacy segment. Execution risk on the simultaneous digital transformation, margin recovery, and business model pivot is high for a 219,000-employee organization with middling employee engagement.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Aetna margin recovery toward 3-4% target by 2028 could add $3-4B in operating income, with Medicare Advantage repricing already showing Q4 2025 improvement [1]</w:t>
      </w:r>
    </w:p>
    <w:p>
      <w:pPr>
        <w:spacing w:before="40" w:after="40"/>
        <w:ind w:left="283"/>
      </w:pPr>
      <w:r>
        <w:rPr>
          <w:rFonts w:ascii="Calibri" w:hAnsi="Calibri"/>
          <w:b/>
          <w:color w:val="4A6B25"/>
          <w:sz w:val="20"/>
        </w:rPr>
        <w:t xml:space="preserve">2. </w:t>
      </w:r>
      <w:r>
        <w:rPr>
          <w:rFonts w:ascii="Calibri" w:hAnsi="Calibri"/>
          <w:b w:val="0"/>
          <w:color w:val="3A4A28"/>
          <w:sz w:val="20"/>
        </w:rPr>
        <w:t>AI-driven $2B cost savings target through claims automation, intelligent call routing, and care management efficiency gains over 2025-2028 [2]</w:t>
      </w:r>
    </w:p>
    <w:p>
      <w:pPr>
        <w:spacing w:before="40" w:after="40"/>
        <w:ind w:left="283"/>
      </w:pPr>
      <w:r>
        <w:rPr>
          <w:rFonts w:ascii="Calibri" w:hAnsi="Calibri"/>
          <w:b/>
          <w:color w:val="4A6B25"/>
          <w:sz w:val="20"/>
        </w:rPr>
        <w:t xml:space="preserve">3. </w:t>
      </w:r>
      <w:r>
        <w:rPr>
          <w:rFonts w:ascii="Calibri" w:hAnsi="Calibri"/>
          <w:b w:val="0"/>
          <w:color w:val="3A4A28"/>
          <w:sz w:val="20"/>
        </w:rPr>
        <w:t>CVS launching technology-as-a-service products in 2026, potentially creating a new high-margin revenue stream from its healthcare data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PBM reform legislation in Congress could mandate pass-through pricing and transparency requirements that would structurally reduce Caremark's $51B quarterly revenue and margins [1]</w:t>
      </w:r>
    </w:p>
    <w:p>
      <w:pPr>
        <w:spacing w:before="40" w:after="40"/>
        <w:ind w:left="283"/>
      </w:pPr>
      <w:r>
        <w:rPr>
          <w:rFonts w:ascii="Calibri" w:hAnsi="Calibri"/>
          <w:b/>
          <w:color w:val="4A6B25"/>
          <w:sz w:val="20"/>
        </w:rPr>
        <w:t xml:space="preserve">2. </w:t>
      </w:r>
      <w:r>
        <w:rPr>
          <w:rFonts w:ascii="Calibri" w:hAnsi="Calibri"/>
          <w:b w:val="0"/>
          <w:color w:val="3A4A28"/>
          <w:sz w:val="20"/>
        </w:rPr>
        <w:t>Amazon Pharmacy and One Medical expansion could erode CVS's retail pharmacy foot traffic by 10-15% over the next 3-5 years, accelerating store closure needs</w:t>
      </w:r>
    </w:p>
    <w:p>
      <w:pPr>
        <w:spacing w:before="40" w:after="40"/>
        <w:ind w:left="283"/>
      </w:pPr>
      <w:r>
        <w:rPr>
          <w:rFonts w:ascii="Calibri" w:hAnsi="Calibri"/>
          <w:b/>
          <w:color w:val="4A6B25"/>
          <w:sz w:val="20"/>
        </w:rPr>
        <w:t xml:space="preserve">3. </w:t>
      </w:r>
      <w:r>
        <w:rPr>
          <w:rFonts w:ascii="Calibri" w:hAnsi="Calibri"/>
          <w:b w:val="0"/>
          <w:color w:val="3A4A28"/>
          <w:sz w:val="20"/>
        </w:rPr>
        <w:t>The $20B headwind from ACA exit and drug pricing reform could cause 2026 guidance misses if Aetna margin recovery stalls or MFN drug pricing impacts exceed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clear enabler for CVS, driving $2 billion in targeted cost savings through automation in claims processing, call routing, and care management [2]. The company's integrated pharmacy-insurance-clinical data ecosystem creates a defensive moat that pure-play tech disruptors cannot easily replicate. However, CTO Tilak Mandadi has warned that '85-90% of all AI investments are currently failing,' and Amazon's healthcare expansion poses a credible long-term competitive threat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CVS Health Q4/FY2025 Earnings Release, February 10, 2026</w:t>
      </w:r>
    </w:p>
    <w:p>
      <w:pPr>
        <w:spacing w:before="20" w:after="20"/>
        <w:ind w:left="170"/>
      </w:pPr>
      <w:r>
        <w:rPr>
          <w:rFonts w:ascii="Calibri" w:hAnsi="Calibri"/>
          <w:b/>
          <w:color w:val="4A6B25"/>
          <w:sz w:val="15"/>
        </w:rPr>
        <w:t xml:space="preserve">2. </w:t>
      </w:r>
      <w:r>
        <w:rPr>
          <w:rFonts w:ascii="Calibri" w:hAnsi="Calibri"/>
          <w:b w:val="0"/>
          <w:color w:val="3A4A28"/>
          <w:sz w:val="17"/>
        </w:rPr>
        <w:t>CVS Health AI Strategy and Leadership Analysis — Fortune, CNBC, Glassdoor, January-March 2026</w:t>
      </w:r>
    </w:p>
    <w:p>
      <w:pPr>
        <w:spacing w:before="20" w:after="20"/>
        <w:ind w:left="170"/>
      </w:pPr>
      <w:r>
        <w:rPr>
          <w:rFonts w:ascii="Calibri" w:hAnsi="Calibri"/>
          <w:b/>
          <w:color w:val="4A6B25"/>
          <w:sz w:val="15"/>
        </w:rPr>
        <w:t xml:space="preserve">3. </w:t>
      </w:r>
      <w:r>
        <w:rPr>
          <w:rFonts w:ascii="Calibri" w:hAnsi="Calibri"/>
          <w:b w:val="0"/>
          <w:color w:val="3A4A28"/>
          <w:sz w:val="17"/>
        </w:rPr>
        <w:t>CVS Health 2022 ESG Report and Healthy 2030 Strategy — cvshealth.com,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