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CVX</w:t>
      </w:r>
      <w:r>
        <w:rPr>
          <w:rFonts w:ascii="Calibri" w:hAnsi="Calibri"/>
          <w:b/>
          <w:color w:val="1A2010"/>
          <w:sz w:val="40"/>
        </w:rPr>
        <w:t xml:space="preserve">  Chevron Corporation</w:t>
      </w:r>
    </w:p>
    <w:p>
      <w:pPr>
        <w:spacing w:after="120"/>
      </w:pPr>
      <w:r>
        <w:rPr>
          <w:rFonts w:ascii="Calibri" w:hAnsi="Calibri"/>
          <w:b/>
          <w:color w:val="6E8450"/>
          <w:sz w:val="18"/>
        </w:rPr>
        <w:t>GROWTH SLEEVE · 2026-04-01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Integrated · NYSE · United States</w:t>
      </w:r>
    </w:p>
    <w:p>
      <w:pPr>
        <w:spacing w:after="80"/>
      </w:pPr>
      <w:r>
        <w:rPr>
          <w:rFonts w:ascii="Calibri" w:hAnsi="Calibri"/>
          <w:b w:val="0"/>
          <w:color w:val="3A4A28"/>
          <w:sz w:val="20"/>
        </w:rPr>
        <w:t>Chevron Corporation is one of the world's largest integrated energy companies, engaged in exploration, production, refining, and marketing of crude oil and natural gas. The company operates globally with record production of 4.05M bpd in Q4 2025, and is expanding into renewable fuels, carbon capture, hydrogen, and power generation for AI data centers. Founded in 1879, headquartered in Houston, Texas.</w:t>
      </w:r>
    </w:p>
    <w:p>
      <w:r>
        <w:rPr>
          <w:rFonts w:ascii="Calibri" w:hAnsi="Calibri"/>
          <w:b/>
          <w:color w:val="6E8450"/>
          <w:sz w:val="18"/>
        </w:rPr>
        <w:t>43,039 Employees · https://www.chevron.com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Chevron's $53B Hess acquisition (adding 11B barrels in Guyana) and record production of 4.05M bpd in Q4 2025 (21% YoY increase) demonstrate significant strategic execution [1]. The structural cost reduction program delivered $1.5B in savings in 2025 with a $3-4B target for 2026. AI Deployment (1/2): Chevron has deployed AI extensively across operations — autonomous drilling in Guyana, predictive maintenance, AI-boosted profitability in the Permian Basin, and a citizen development program putting AI tools into thousands of employees' hands since the 2018 'Digital Innovation' mandate [2]. Market Share (1/2): Chevron is the #2 U.S. integrated oil major behind ExxonMobil, with meaningful global production share but not category-defining dominance in any single segment [1]. Pipeline (1/2): 7-10% production growth guided for 2026, with Tengizchevroil contributing $6B FCF at $70 Brent, and new ventures in Venezuela, Libya, and Iraq, though these carry geopolitical execution risk [1]. R&amp;D Intensity (1/1): Above-average investment in AI, digital transformation, renewable fuels, carbon capture, and hydrogen relative to integrated energy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Chevron's stated purpose — 'enabling human progress by reliably providing the energy that makes modern life possible' — is clear but not distinctive, essentially the standard mission for any major energy company [2]. It identifies what Chevron does and for whom but lacks a deeper transformative vision. Community Impact (2/2): Chevron employs 43,039 people and has significant community investment programs globally, with detailed sustainability reporting and local economic impact in operating regions [3]. The company's foundation and community programs are substantive and well-documented. Employee Retention (1/2): CEO Mike Wirth's distinctive leadership style — handwritten letters to employees, emphasis on face-to-face engagement, 'building culture one interaction at a time' — creates genuine organizational commitment [2]. The February 2025 restructuring aimed to simplify and enable faster execution. Insider Buying (1/2): Wirth and senior leadership have significant equity exposure through compensation, and the company's massive buyback program ($75B authorization) and 38th consecutive year of dividend increases demonstrate capital return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Chevron's balance sheet is conservative with D/E of 24.3%, well below the 70% target [5]. However, profitability metrics are under pressure: ROE of 7.2% is below the 15% target (scoring 0.48), reflecting lower oil prices compressing earnings. Revenue declined 8.2% YoY to $184.4B as crude prices fell, and the 4yr revenue CAGR of 3.2% reflects commodity cyclicality rather than structural growth [1]. Profit margin of 6.7% is below the 20% target (scoring 0.33), also reflecting the commodity downcycle. Forward P/E of 19.6x is just below the 20x target, and Forward PEG of 0.38 based on 52% forward EPS recovery is attractive [5]. The payout ratio of 103% is concerning — the dividend exceeds trailing earnings, though this reflects a cyclical trough rather than structural unsustainability given Chevron's FCF generation capacity and $75B buyback program. Liquidity floor easily cleared: 13.1M avg volume x $197.20 = $2.59B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Chevron under Mike Wirth shows mixed infinite game characteristics — the 147-year operating history, 38 consecutive years of dividend growth, and patient approach to the energy transition reflect endurance thinking. However, the company's fundamental dependence on fossil fuels and resistance to aggressive decarbonization targets (no Paris-aligned commitments) suggest the infinite game is being played within the boundaries of the current business model rather than with true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Chevron's cause — enabling human progress through reliable energy — is genuine and has been consistently articulated for decades [2]. The company has invested in lower-carbon energy (renewable fuels, carbon capture, hydrogen) while maintaining its core fossil fuel business, showing the cause is broader than any single energy source. However, critics argue the cause is used to justify continued fossil fuel expansion rather than genuine transformation, and only 0.2% of long-term investments went to low-carbon energy through 2018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Wirth's distinctive personal leadership style — handwritten notes, face-to-face engagement — creates genuine organizational connection unusual for a 43,000-person company [2]. The February 2025 restructuring was positioned as empowering faster execution rather than top-down cost cutting. However, the oil and gas industry broadly faces trust challenges around safety, environmental impact, and the tension between public messaging and operational reality.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Chevron consistently benchmarks against ExxonMobil and acknowledges Shell's and BP's different approaches to the energy transition, using competitive dynamics to sharpen its own strategy [2]. Management frames the competitive landscape as motivation to improve operational efficiency and capital discipline rather than as a zero-sum war for market share.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Despite rhetoric about the energy transition, Chevron has not fundamentally reinvented its business model. The company allocated just 0.2% of long-term investments to low-carbon energy through 2018, and the core strategy remains growing oil and gas production [3]. The $53B Hess acquisition doubled down on fossil fuels rather than pivoting toward renewable energy. While investments in carbon capture, hydrogen, and renewable fuels exist, they remain marginal relative to the $184B fossil fuel revenue base. Chevron is adapting incrementally, not transforming.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Chevron's commitment to 38 consecutive years of dividend growth through multiple commodity cycles — including maintaining the dividend through the 2020 oil price collapse — demonstrates financial courage [1]. The $3-4B structural cost reduction target for 2026 shows willingness to make difficult operational decisions. However, the company has not shown the courage to make costly long-term bets that sacrifice near-term fossil fuel earnings for decarbonization, and shareholder ESG proposals were overwhelmingly rejected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Chevron is a top-tier integrated energy major delivering record production of 4.05M bpd (up 21% YoY in Q4 2025) with a fortress balance sheet (D/E of 24.3%) and 38 consecutive years of dividend growth [1]. The stock is positioned as a safe-haven energy investment with institutional investors rotating heavily into large-cap energy in 2026. At 19.6x forward P/E with 52% forward EPS recovery expected, the stock is reasonably valued for a cyclical trough. The structural cost reduction program targeting $3-4B in 2026 savings provides margin expansion regardless of commodity prices, while 7-10% production growth guidance and the Hess/Guyana asset base provide volume upside [1]. Chevron's natural gas portfolio directly benefits from AI data center power demand — CEO Wirth positions the company as an energy enabler for the AI revolution [2].</w:t>
      </w:r>
    </w:p>
    <w:p>
      <w:pPr>
        <w:spacing w:after="120"/>
      </w:pPr>
      <w:r>
        <w:rPr>
          <w:rFonts w:ascii="Calibri" w:hAnsi="Calibri"/>
          <w:b w:val="0"/>
          <w:color w:val="3A4A28"/>
          <w:sz w:val="20"/>
        </w:rPr>
        <w:t>The bear case centers on commodity price risk and the energy transition. Revenue declined 8.2% YoY as crude prices fell, profit margin compressed to 6.7%, and the payout ratio hit 103% — Chevron's dividend exceeds trailing earnings, relying on FCF generation to cover the gap [1]. A sustained oil price decline to $50/bbl would severely pressure both the dividend and the buyback program. The $53B Hess acquisition concentrates risk in Guyana, where an ongoing arbitration with Exxon over preemptive rights creates deal uncertainty. Greenwashing allegations from Earthworks, Greenpeace, and Global Witness highlight reputational risk, and the Ecuadorian Amazon environmental legacy (16B gallons of toxic waste) remains unresolved [3]. Long-term, the energy transition poses existential risk — while Chevron's timeline to disruption is measured in decades, the company's minimal investment in renewables (0.2% historically) means it is poorly positioned if the transition accelerates faster than expected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power demand driving natural gas volume and pricing — Chevron's gas portfolio directly benefits from the massive buildout of AI infrastructure requiring reliable baseload power [2]</w:t>
      </w:r>
    </w:p>
    <w:p>
      <w:pPr>
        <w:spacing w:before="40" w:after="40"/>
        <w:ind w:left="283"/>
      </w:pPr>
      <w:r>
        <w:rPr>
          <w:rFonts w:ascii="Calibri" w:hAnsi="Calibri"/>
          <w:b/>
          <w:color w:val="4A6B25"/>
          <w:sz w:val="20"/>
        </w:rPr>
        <w:t xml:space="preserve">2. </w:t>
      </w:r>
      <w:r>
        <w:rPr>
          <w:rFonts w:ascii="Calibri" w:hAnsi="Calibri"/>
          <w:b w:val="0"/>
          <w:color w:val="3A4A28"/>
          <w:sz w:val="20"/>
        </w:rPr>
        <w:t>Structural cost reduction program targeting $3-4B in 2026 sustainable savings, providing margin expansion independent of commodity prices and supporting dividend coverage [1]</w:t>
      </w:r>
    </w:p>
    <w:p>
      <w:pPr>
        <w:spacing w:before="40" w:after="40"/>
        <w:ind w:left="283"/>
      </w:pPr>
      <w:r>
        <w:rPr>
          <w:rFonts w:ascii="Calibri" w:hAnsi="Calibri"/>
          <w:b/>
          <w:color w:val="4A6B25"/>
          <w:sz w:val="20"/>
        </w:rPr>
        <w:t xml:space="preserve">3. </w:t>
      </w:r>
      <w:r>
        <w:rPr>
          <w:rFonts w:ascii="Calibri" w:hAnsi="Calibri"/>
          <w:b w:val="0"/>
          <w:color w:val="3A4A28"/>
          <w:sz w:val="20"/>
        </w:rPr>
        <w:t>7-10% production growth in 2026 with Tengizchevroil contributing $6B FCF at $70 Brent, plus Hess/Guyana integration adding 11B barrels of high-quality reserves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dependence — oil below $60/bbl would compress margins below dividend coverage levels, forcing difficult capital allocation choices between the 38-year dividend growth streak and growth investment [1]</w:t>
      </w:r>
    </w:p>
    <w:p>
      <w:pPr>
        <w:spacing w:before="40" w:after="40"/>
        <w:ind w:left="283"/>
      </w:pPr>
      <w:r>
        <w:rPr>
          <w:rFonts w:ascii="Calibri" w:hAnsi="Calibri"/>
          <w:b/>
          <w:color w:val="4A6B25"/>
          <w:sz w:val="20"/>
        </w:rPr>
        <w:t xml:space="preserve">2. </w:t>
      </w:r>
      <w:r>
        <w:rPr>
          <w:rFonts w:ascii="Calibri" w:hAnsi="Calibri"/>
          <w:b w:val="0"/>
          <w:color w:val="3A4A28"/>
          <w:sz w:val="20"/>
        </w:rPr>
        <w:t>Hess acquisition arbitration risk — ExxonMobil's preemptive rights challenge over the Guyana asset could delay or modify the $53B deal structure, creating material uncertainty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acceleration — if renewable energy and EV adoption accelerate faster than expected, Chevron's minimal low-carbon investment positions it poorly for demand destruction in its core fossil fuel business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Chevron's core business — extracting, refining, and distributing hydrocarbons — involves physical-world operations that AI structurally cannot displace [2]. The explosive growth of AI data centers is directly increasing demand for natural gas power generation, making Chevron a beneficiary of AI adoption rather than a victim. CEO Wirth has publicly positioned Chevron as an energy enabler for the AI revolution at CSIS, noting natural gas provides 'the fastest time-to-market for reliable and scalable power' for data centers [2]. Record production of 4.05M bpd demonstrates the physical infrastructure moat. AI Opportunity (1/1): Chevron generates measurable value from AI through autonomous drilling in Guyana, Permian Basin optimization, predictive maintenance, and hundreds of generative AI use cases deployed across operations since 2018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Chevron Q4 2025 Earnings Release — $46.87B quarterly revenue, 4.05M bpd record production, $1.5B cost savings, January 2026</w:t>
      </w:r>
    </w:p>
    <w:p>
      <w:pPr>
        <w:spacing w:before="20" w:after="20"/>
        <w:ind w:left="170"/>
      </w:pPr>
      <w:r>
        <w:rPr>
          <w:rFonts w:ascii="Calibri" w:hAnsi="Calibri"/>
          <w:b/>
          <w:color w:val="4A6B25"/>
          <w:sz w:val="15"/>
        </w:rPr>
        <w:t xml:space="preserve">2. </w:t>
      </w:r>
      <w:r>
        <w:rPr>
          <w:rFonts w:ascii="Calibri" w:hAnsi="Calibri"/>
          <w:b w:val="0"/>
          <w:color w:val="3A4A28"/>
          <w:sz w:val="17"/>
        </w:rPr>
        <w:t>Chevron Corporate Website and CSIS Event — CEO Wirth on AI energy demand, digital innovation strategy, leadership culture, 2024-2026</w:t>
      </w:r>
    </w:p>
    <w:p>
      <w:pPr>
        <w:spacing w:before="20" w:after="20"/>
        <w:ind w:left="170"/>
      </w:pPr>
      <w:r>
        <w:rPr>
          <w:rFonts w:ascii="Calibri" w:hAnsi="Calibri"/>
          <w:b/>
          <w:color w:val="4A6B25"/>
          <w:sz w:val="15"/>
        </w:rPr>
        <w:t xml:space="preserve">3. </w:t>
      </w:r>
      <w:r>
        <w:rPr>
          <w:rFonts w:ascii="Calibri" w:hAnsi="Calibri"/>
          <w:b w:val="0"/>
          <w:color w:val="3A4A28"/>
          <w:sz w:val="17"/>
        </w:rPr>
        <w:t>Earthworks, ClientEarth, Yahoo Finance — Chevron ESG controversies, greenwashing complaints, shareholder ESG vote results, 2025-2026</w:t>
      </w:r>
    </w:p>
    <w:p>
      <w:pPr>
        <w:spacing w:before="20" w:after="20"/>
        <w:ind w:left="170"/>
      </w:pPr>
      <w:r>
        <w:rPr>
          <w:rFonts w:ascii="Calibri" w:hAnsi="Calibri"/>
          <w:b/>
          <w:color w:val="4A6B25"/>
          <w:sz w:val="15"/>
        </w:rPr>
        <w:t xml:space="preserve">4. </w:t>
      </w:r>
      <w:r>
        <w:rPr>
          <w:rFonts w:ascii="Calibri" w:hAnsi="Calibri"/>
          <w:b w:val="0"/>
          <w:color w:val="3A4A28"/>
          <w:sz w:val="17"/>
        </w:rPr>
        <w:t>TIKR, MarketBeat — Chevron analyst coverage, $251 price target consensus, institutional rotation into energy,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CVX (Chevron Corporation),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