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CWEN</w:t>
      </w:r>
      <w:r>
        <w:rPr>
          <w:rFonts w:ascii="Calibri" w:hAnsi="Calibri"/>
          <w:b/>
          <w:color w:val="1A2010"/>
          <w:sz w:val="40"/>
        </w:rPr>
        <w:t xml:space="preserve">  Clearway Energy, Inc.</w:t>
      </w:r>
    </w:p>
    <w:p>
      <w:pPr>
        <w:spacing w:after="120"/>
      </w:pPr>
      <w:r>
        <w:rPr>
          <w:rFonts w:ascii="Calibri" w:hAnsi="Calibri"/>
          <w:b/>
          <w:color w:val="6E8450"/>
          <w:sz w:val="18"/>
        </w:rPr>
        <w:t>DIVIDEND SLEEVE · 2026-05-04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Clearway Energy, Inc. is one of the largest owners of clean energy generation assets in the United States, with a portfolio of approximately 12.7 GW of gross capacity across 27 states, including 9.9 GW of wind, solar, and energy storage and 2.8 GW of dispatchable natural gas generation providing grid reliability services. The company operates as a yieldco, acquiring and operating contracted renewable energy assets to generate stable cash available for distribution (CAFD).</w:t>
      </w:r>
    </w:p>
    <w:p>
      <w:r>
        <w:rPr>
          <w:rFonts w:ascii="Calibri" w:hAnsi="Calibri"/>
          <w:b/>
          <w:color w:val="6E8450"/>
          <w:sz w:val="18"/>
        </w:rPr>
        <w:t>https://www.clearwayenergygroup.com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Clearway has grown its portfolio from ~5 GW at its 2018 spin-off from NRG Energy to 12.7 GW today through disciplined acquisition of contracted renewable energy assets, roughly doubling its capacity in 7 years [1][3]. While this is growth, it's through asset acquisition rather than technology innovation. AI Deployment (0/2): No AI products or AI-driven operational efficiencies are evident in Clearway's operations — the company is an asset owner/operator, not a technology developer [2]. Market Share (1/2): Clearway is one of the five largest US renewable energy asset owners with 12.7 GW across 27 states, giving it meaningful scale in the fragmented clean energy market [3]. Pipeline (1/2): Management reaffirmed 2026 CAFD guidance of $470-$510M and long-term targets of CAFD/share of $2.70+ in 2027 and $2.90-$3.10 in 2030, providing multi-year visibility [1]. R&amp;D Intensity (1/1): As a yieldco, R&amp;D is minimal — the company's innovation comes through capital allocation and project development rather than technology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Clearway's stated purpose is to be 'a leading developer and operator of clean energy' — clear and relevant to the energy transition but not deeply distinctive among dozens of renewable energy competitors [3]. The mission connects to decarbonization, which is genuinely purposeful. Community Impact (1/2): Clearway operates across 27 states providing clean energy infrastructure and grid reliability services, with indirect community benefit through renewable energy deployment and local job creation [3]. No specific foundation or charitable programs were found. Employee Retention (1/2): CEO Craig Cornelius was appointed in July 2024, and the leadership team represents 'decades of experience across renewable energy sectors' [2]. Glassdoor data is limited for the company, but the culture emphasizes 'integrity, accountability, and teamwork.' Insider Buying (1/2): Management has demonstrated commitment through the long-term CAFD growth targets and consistent dividend increases (6 consecutive years of growth), signaling alignment with shareholder interests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Clearway's financial profile reflects the typical yieldco structure — high leverage funding long-duration contracted assets. D/E of 159.7% is elevated but typical for utilities/yieldcos with $9.4B debt against $250M cash, funded by long-term contracted cash flows [4]. ROE of -4.0% is negative due to accounting treatment of the complex corporate structure and depreciation, not operational distress [4]. Revenue growth of 21.1% YoY to $1.43B TTM is strong, driven by new asset acquisitions. Forward P/E of 24.2x is reasonable for a utility with growing CAFD. Profit margin of 11.8% is modest but consistent with capital-intensive utility operations [4]. The dividend profile is strong: 11 consecutive years paid since 2015, 6 consecutive years of growth (2020-2025), 4.46% yield, and 11.0% 5yr dividend growth CAGR — well above inflation [1][4]. Payout ratio of 124% exceeds 100% on an accounting basis, but yieldcos distribute CAFD (cash flow), not GAAP earnings, so this metric overstates risk. Liquidity floor cleared: 908K avg vol x $40.30 = $36.6M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Clearway Energy plays a moderately infinite game as a long-duration infrastructure asset owner built around multi-decade contracted cash flows. The yieldco model is inherently long-term — assets are acquired with 15-25 year power purchase agreements — which aligns with infinite game thinking. However, the company's purpose is more financial (generating CAFD for distribution) than transformative, and the reliance on the sponsor (Clearway Energy Group/GIP) for growth limits independent strategic agency.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Clearway's connection to the clean energy transition provides genuine purpose — the company is materially advancing decarbonization by owning 9.9 GW of renewable capacity across 27 states [3]. The Just Cause is real but somewhat diluted by the yieldco financial structure, which frames the company's purpose more in terms of CAFD distribution to shareholders than advancing a better energy future. The cause hasn't been tested through crisis in the way that earns full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CEO Craig Cornelius was appointed in July 2024, representing a recent leadership transition [2]. The company emphasizes 'integrity, accountability, and teamwork' as cultural values. Limited employee data is available — Clearway does not disclose employee count publicly, and Glassdoor presence is minimal. The yieldco structure means a relatively lean operating team managing a large asset portfolio.</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infinite competitive mindset evident (0 pts). Clearway positions itself as 'one of the largest' clean energy asset owners, framing competition in terms of portfolio size rather than capability improvement [3]. The renewable energy yieldco space is primarily about capital allocation and asset acquisition rather than competitive learning. No management commentary was found acknowledging rival strengths or using competition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Clearway has evolved from its origin as an NRG Energy spin-off (primarily natural gas) to a predominantly renewable energy portfolio with 9.9 GW of wind, solar, and storage versus 2.8 GW of gas [3]. Adding energy storage to the portfolio and the transition toward a heavier renewable mix demonstrate strategic adaptation. However, the yieldco model itself is somewhat rigid — acquire contracted assets and distribute cash — limiting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 pts). The yieldco model is designed to minimize risk — acquire contracted assets with predictable cash flows and distribute them to shareholders [1]. While this is prudent, it does not demonstrate the kind of courageous long-term bets that Sinek values. Management optimizes for CAFD stability and predictable dividend growth rather than making bold, potentially costly investments in unproven technologies or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Clearway Energy offers a compelling clean energy income vehicle with a 4.46% dividend yield, 11.0% 5yr dividend growth CAGR, and 6 consecutive years of dividend increases [1][4]. The 12.7 GW portfolio across 27 states provides stable contracted cash flows, with management reaffirming 2026 CAFD guidance of $470-$510M and long-term targets of $2.90-$3.10 CAFD/share by 2030 [1]. Revenue growth of 21.1% YoY to $1.43B reflects successful asset acquisitions, and the AI-driven surge in electricity demand creates a structural tailwind for renewable energy asset owners [3]. At 24.2x forward P/E, the stock is reasonably valued for a utility-like business with above-average growth visibility and clean energy policy support.</w:t>
      </w:r>
    </w:p>
    <w:p>
      <w:pPr>
        <w:spacing w:after="120"/>
      </w:pPr>
      <w:r>
        <w:rPr>
          <w:rFonts w:ascii="Calibri" w:hAnsi="Calibri"/>
          <w:b w:val="0"/>
          <w:color w:val="3A4A28"/>
          <w:sz w:val="20"/>
        </w:rPr>
        <w:t>The bear case centers on leverage and execution risk. D/E of 159.7% with $9.4B total debt creates significant interest rate sensitivity — rising rates increase refinancing costs and reduce the present value of contracted cash flows [4]. ROE is negative at -4.0%, and GAAP payout ratio of 124% exceeds 100%, though CAFD-based distribution is sustainable. Q4 2025 results missed analyst estimates with -$0.89 EPS versus -$0.21 expected, highlighting quarterly earnings volatility driven by weather-dependent renewable generation [1]. The company depends on its sponsor (Clearway Energy Group/Global Infrastructure Partners) for growth assets — a sponsor relationship that introduces conflicts of interest and limits independent strategic flexibility. Regulatory risk remains: changes to renewable energy tax credits (IRA) or state-level clean energy mandates could impact future asset economics. The PEG ratio of 3.67 suggests the market is pricing in growth that may not materialize if asset acquisition pace slows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center-driven electricity demand surge creating structural tailwind for renewable energy assets, with utility-scale solar and wind procurement accelerating [3]</w:t>
      </w:r>
    </w:p>
    <w:p>
      <w:pPr>
        <w:spacing w:before="40" w:after="40"/>
        <w:ind w:left="283"/>
      </w:pPr>
      <w:r>
        <w:rPr>
          <w:rFonts w:ascii="Calibri" w:hAnsi="Calibri"/>
          <w:b/>
          <w:color w:val="4A6B25"/>
          <w:sz w:val="20"/>
        </w:rPr>
        <w:t xml:space="preserve">2. </w:t>
      </w:r>
      <w:r>
        <w:rPr>
          <w:rFonts w:ascii="Calibri" w:hAnsi="Calibri"/>
          <w:b w:val="0"/>
          <w:color w:val="3A4A28"/>
          <w:sz w:val="20"/>
        </w:rPr>
        <w:t>CAFD growth trajectory from $470-$510M in 2026 to $2.90-$3.10/share by 2030 driven by continued asset acquisitions and organic CAFD improvements [1]</w:t>
      </w:r>
    </w:p>
    <w:p>
      <w:pPr>
        <w:spacing w:before="40" w:after="40"/>
        <w:ind w:left="283"/>
      </w:pPr>
      <w:r>
        <w:rPr>
          <w:rFonts w:ascii="Calibri" w:hAnsi="Calibri"/>
          <w:b/>
          <w:color w:val="4A6B25"/>
          <w:sz w:val="20"/>
        </w:rPr>
        <w:t xml:space="preserve">3. </w:t>
      </w:r>
      <w:r>
        <w:rPr>
          <w:rFonts w:ascii="Calibri" w:hAnsi="Calibri"/>
          <w:b w:val="0"/>
          <w:color w:val="3A4A28"/>
          <w:sz w:val="20"/>
        </w:rPr>
        <w:t>Energy storage expansion adding grid flexibility and premium pricing to the renewable portfolio, complementing intermittent wind and solar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$9.4B debt load means rising rates increase refinancing costs and compress the spread between contracted cash flows and cost of capital [4]</w:t>
      </w:r>
    </w:p>
    <w:p>
      <w:pPr>
        <w:spacing w:before="40" w:after="40"/>
        <w:ind w:left="283"/>
      </w:pPr>
      <w:r>
        <w:rPr>
          <w:rFonts w:ascii="Calibri" w:hAnsi="Calibri"/>
          <w:b/>
          <w:color w:val="4A6B25"/>
          <w:sz w:val="20"/>
        </w:rPr>
        <w:t xml:space="preserve">2. </w:t>
      </w:r>
      <w:r>
        <w:rPr>
          <w:rFonts w:ascii="Calibri" w:hAnsi="Calibri"/>
          <w:b w:val="0"/>
          <w:color w:val="3A4A28"/>
          <w:sz w:val="20"/>
        </w:rPr>
        <w:t>Weather and generation variability — Q4 2025 EPS miss of -$0.89 vs. -$0.21 expected demonstrates exposure to wind and solar resource intermittency [1]</w:t>
      </w:r>
    </w:p>
    <w:p>
      <w:pPr>
        <w:spacing w:before="40" w:after="40"/>
        <w:ind w:left="283"/>
      </w:pPr>
      <w:r>
        <w:rPr>
          <w:rFonts w:ascii="Calibri" w:hAnsi="Calibri"/>
          <w:b/>
          <w:color w:val="4A6B25"/>
          <w:sz w:val="20"/>
        </w:rPr>
        <w:t xml:space="preserve">3. </w:t>
      </w:r>
      <w:r>
        <w:rPr>
          <w:rFonts w:ascii="Calibri" w:hAnsi="Calibri"/>
          <w:b w:val="0"/>
          <w:color w:val="3A4A28"/>
          <w:sz w:val="20"/>
        </w:rPr>
        <w:t>Sponsor dependency and regulatory risk — growth depends on Clearway Energy Group's asset pipeline, and changes to IRA clean energy tax credits could impair future acquisition economics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Clearway Energy is structurally immune to AI disruption — the company owns and operates physical renewable energy infrastructure (wind farms, solar arrays, energy storage, natural gas plants) that AI cannot replace [2][3]. More importantly, AI is a powerful tailwind: AI data centers are driving explosive growth in electricity demand, which directly increases the need for the renewable energy assets Clearway owns. The company's 12.7 GW portfolio across 27 states provides essential physical infrastructure that no software can substitute. Analysts view Clearway as a beneficiary of AI-driven power demand, not a victim. AI Opportunity (1/1): Clearway generates quantifiable revenue from power sales to data centers and grid operators serving AI infrastructure, and the company's contracted renewable energy assets are increasingly valued as AI electricity demand drives utility-scale renewable procurement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Clearway Energy Q4 2025 Earnings, FY2026 CAFD Guidance ($470-$510M), and Long-Term Targets, February 2026</w:t>
      </w:r>
    </w:p>
    <w:p>
      <w:pPr>
        <w:spacing w:before="20" w:after="20"/>
        <w:ind w:left="170"/>
      </w:pPr>
      <w:r>
        <w:rPr>
          <w:rFonts w:ascii="Calibri" w:hAnsi="Calibri"/>
          <w:b/>
          <w:color w:val="4A6B25"/>
          <w:sz w:val="15"/>
        </w:rPr>
        <w:t xml:space="preserve">2. </w:t>
      </w:r>
      <w:r>
        <w:rPr>
          <w:rFonts w:ascii="Calibri" w:hAnsi="Calibri"/>
          <w:b w:val="0"/>
          <w:color w:val="3A4A28"/>
          <w:sz w:val="17"/>
        </w:rPr>
        <w:t>Clearway Energy Group Corporate Website — Leadership, Culture, and Craig Cornelius appointment,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Clearway Energy Sustainability and ESG Disclosures, Sustainalytics ESG Rating,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CWEN (Clearway Energy),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