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CWK</w:t>
      </w:r>
      <w:r>
        <w:rPr>
          <w:rFonts w:ascii="Calibri" w:hAnsi="Calibri"/>
          <w:b/>
          <w:color w:val="1A2010"/>
          <w:sz w:val="40"/>
        </w:rPr>
        <w:t xml:space="preserve">  Cushman &amp; Wakefield Limited</w:t>
      </w:r>
    </w:p>
    <w:p>
      <w:pPr>
        <w:spacing w:after="120"/>
      </w:pPr>
      <w:r>
        <w:rPr>
          <w:rFonts w:ascii="Calibri" w:hAnsi="Calibri"/>
          <w:b/>
          <w:color w:val="6E8450"/>
          <w:sz w:val="18"/>
        </w:rPr>
        <w:t>GROWTH SLEEVE · 2026-04-17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Cushman &amp; Wakefield is a global commercial real estate services firm providing integrated facilities management, project and development services, portfolio administration, transaction management, leasing, capital markets advisory, and valuation services across the Americas, EMEA, and Asia Pacific.</w:t>
      </w:r>
    </w:p>
    <w:p>
      <w:r>
        <w:rPr>
          <w:rFonts w:ascii="Calibri" w:hAnsi="Calibri"/>
          <w:b/>
          <w:color w:val="6E8450"/>
          <w:sz w:val="18"/>
        </w:rPr>
        <w:t>53,000 Employees · https://www.cushmanwakefield.com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CWK delivered record 2025 revenue of $10.3B (up 9% YoY) with capital markets rebounding 19% and leasing growing 8%, demonstrating cyclical recovery but not innovation-driven transformation [1]. Adjusted EBITDA of $656M grew 13% with margin expansion to 9.3%. AI Deployment (1/2): CWK rolled out Jasper AI writing assistant for marketing/research teams and launched the industry-first 'AI Impact Barometer' tool to track AI's effects on real estate demand, representing early but meaningful AI deployment [2]. Market Share (1/2): CWK is a top-3 global commercial real estate services firm alongside CBRE and JLL, with $10.3B revenue, but is the smallest of the three and has not gained significant share against larger competitors [1]. Pipeline (1/2): 2026 guidance of 6-8% revenue growth and 15-20% adjusted EPS growth provides visibility, with management expecting similar growth trajectory across all service lines [1]. R&amp;D Intensity (1/1): CWK's AI+ initiative and technology investment program exceed typical real estate services industry spending, including proprietary data analytics and AI tools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Cushman &amp; Wakefield's purpose of 'shaping the future of real estate for a better world' is generic and interchangeable with any global real estate services firm — it does not articulate a distinctive or inspiring vision beyond industry platitudes [3]. Community Impact (1/2): Published ESG reports with SBTi-validated emissions reduction targets consistent with the Paris Agreement; commitment to bold ESG action across operations and client services [3]. Employee Retention (1/2): 53,000 global employees with CEO Michelle MacKay emphasizing a 'culture of change' — adequate stability though the company went through significant leadership transition in 2023-2024 with MacKay becoming CEO [2]. Insider Buying (1/2): No specific evidence of meaningful net insider buying found; MacKay and management have equity incentives aligned with performance but no notable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CWK's financials reflect a highly leveraged services model with thin margins. D/E of 158.3% scores 0.62 (floor 300%, target 70%). ROE of 4.75% scores 0.32 (target 15%). Revenue growth YoY of 10.8% scores 1.0 (above target). 3yr revenue CAGR of ~0.6% (2022-2025) scores 0.37 (target 10%). Forward P/E of 8.28 scores 1.0 (target ≤20) — attractively valued. Profit margin of 0.86% scores 0.04 (target 20%) — extremely thin for a $10B revenue company. PEG unavailable, excluded. Weighted calculation excluding PEG: (1×0.62 + 2×0.32 + 1×1.0 + 2×0.37 + 1×1.0 + 1×0.04) = 4.04 / 8 × 10 = 5 [1][4]. Liquidity floor cleared: 2.1M avg vol × $14.03 = $30.1M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Cushman &amp; Wakefield demonstrates mixed infinite-game thinking. CEO MacKay's emphasis on embedding a 'culture of change' signals awareness of the need for long-term adaptation, but the company's recent history of private equity ownership (TPG), frequent leadership changes, and focus on cost optimization suggest a more finite orientation. The business has endured for 100+ years but has been more reactive than visionary.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CWK's stated purpose of 'shaping the future of real estate for a better world' is generic and does not differentiate from CBRE or JLL [3]. The company's 100+ year history demonstrates staying power, but recent private equity ownership (TPG) and IPO in 2018 prioritized financial engineering over purpose. MacKay's 'culture of change' framing is about survival rather than a compelling vision of a better future — 1 point for existing but shallow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CWK employs 53,000 globally with adequate organizational stability, though the company experienced significant leadership turnover with the CEO transition to MacKay in 2024 [2]. The firm's brokerage culture emphasizes individual producer performance, which can create competitive internal dynamics. No evidence of exceptional employee empowerment or high-trust initiatives, but no major cultural red flags — 1 point for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CWK explicitly acknowledges CBRE's scale advantage and JLL's technology leadership, using competitive pressure to invest in its own AI+ initiative and operational improvements [1][2]. Management frames the competitive landscape as motivation to differentiate through technology and service quality rather than market share destruction —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CWK has not demonstrated transformative reinvention. The company has expanded services incrementally (adding facilities management, capital markets advisory) but remains fundamentally a commercial real estate brokerage and services firm [1]. The AI+ initiative represents incremental technology adoption rather than a strategic pivot. The company is too tethered to commercial real estate cycles to demonstrate existential flexibility —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MacKay's decision to invest in AI during a commercial real estate downturn and her candid acknowledgment that 'AI will create winners and losers' shows some leadership courage [2]. The company reduced net leverage by 0.7x in 2025 while investing in technology, demonstrating balanced capital allocation. However, no evidence of truly costly long-term bets —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Cushman &amp; Wakefield is a recovery play on the commercial real estate cycle, trading at just 8.3x forward P/E — a steep discount to peers CBRE (~20x) and JLL (~15x). Record 2025 revenue of $10.3B (up 9%) with capital markets surging 19% and adjusted EPS growing 34% to $1.22 demonstrates the operating leverage inherent in a brokerage model [1]. Management guided 2026 to 6-8% revenue growth and 15-20% EPS growth, suggesting continued recovery. The AI+ initiative positions CWK as a technology-forward CRE services firm, with the AI Impact Barometer providing differentiated client insights [2]. Adjusted EBITDA margin expanded 46bps to 9.3%, and deleveraging is accelerating (net leverage down 0.7x in 2025). At $14/share, the stock offers significant upside if CRE transaction volumes continue normalizing toward pre-pandemic levels [1].</w:t>
      </w:r>
    </w:p>
    <w:p>
      <w:pPr>
        <w:spacing w:after="120"/>
      </w:pPr>
      <w:r>
        <w:rPr>
          <w:rFonts w:ascii="Calibri" w:hAnsi="Calibri"/>
          <w:b w:val="0"/>
          <w:color w:val="3A4A28"/>
          <w:sz w:val="20"/>
        </w:rPr>
        <w:t>The bear case reflects structural challenges beyond the cycle. Net profit margin of 0.86% on $10.3B revenue is razor-thin, and the $177M Greystone JV impairment reduced GAAP net income to $88.2M (down $43M YoY), demonstrating fragility [1]. D/E of 158% reflects $3.1B in debt from the leveraged pre-IPO capital structure, consuming significant cash flow for interest payments. The 3yr revenue CAGR of just 0.6% (2022-2025) shows CWK barely recovered to its 2022 revenue level, suggesting limited organic growth capability. AI poses a genuine medium-term threat to brokerage fees and analytics services — CWK's own research acknowledges AI will reshape office demand over the next decade [2]. CBRE and JLL have scale advantages that allow greater technology investment. The stock's low multiple reflects market skepticism about sustained margin improvement and concerns about commercial real estate's structural shift (remote work, office vacancies). Beta of 1.49 amplifies downside in risk-off environments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markets recovery — transaction volumes rebounding 19% in 2025 with further normalization expected as interest rates stabilize, directly benefiting CWK's highest-margin service line [1]</w:t>
      </w:r>
    </w:p>
    <w:p>
      <w:pPr>
        <w:spacing w:before="40" w:after="40"/>
        <w:ind w:left="283"/>
      </w:pPr>
      <w:r>
        <w:rPr>
          <w:rFonts w:ascii="Calibri" w:hAnsi="Calibri"/>
          <w:b/>
          <w:color w:val="4A6B25"/>
          <w:sz w:val="20"/>
        </w:rPr>
        <w:t xml:space="preserve">2. </w:t>
      </w:r>
      <w:r>
        <w:rPr>
          <w:rFonts w:ascii="Calibri" w:hAnsi="Calibri"/>
          <w:b w:val="0"/>
          <w:color w:val="3A4A28"/>
          <w:sz w:val="20"/>
        </w:rPr>
        <w:t>AI+ initiative monetization — AI Impact Barometer and embedded AI tools could differentiate CWK from competitors and support advisory fee premiums as clients navigate AI-driven real estate shifts [2]</w:t>
      </w:r>
    </w:p>
    <w:p>
      <w:pPr>
        <w:spacing w:before="40" w:after="40"/>
        <w:ind w:left="283"/>
      </w:pPr>
      <w:r>
        <w:rPr>
          <w:rFonts w:ascii="Calibri" w:hAnsi="Calibri"/>
          <w:b/>
          <w:color w:val="4A6B25"/>
          <w:sz w:val="20"/>
        </w:rPr>
        <w:t xml:space="preserve">3. </w:t>
      </w:r>
      <w:r>
        <w:rPr>
          <w:rFonts w:ascii="Calibri" w:hAnsi="Calibri"/>
          <w:b w:val="0"/>
          <w:color w:val="3A4A28"/>
          <w:sz w:val="20"/>
        </w:rPr>
        <w:t>Deleveraging trajectory — net leverage reduced 0.7x in 2025 with continued debt paydown improving the equity story and reducing interest expense drag on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structural decline — remote work and AI-driven office demand compression could permanently reduce leasing volumes, CWK's largest service line by revenue [2]</w:t>
      </w:r>
    </w:p>
    <w:p>
      <w:pPr>
        <w:spacing w:before="40" w:after="40"/>
        <w:ind w:left="283"/>
      </w:pPr>
      <w:r>
        <w:rPr>
          <w:rFonts w:ascii="Calibri" w:hAnsi="Calibri"/>
          <w:b/>
          <w:color w:val="4A6B25"/>
          <w:sz w:val="20"/>
        </w:rPr>
        <w:t xml:space="preserve">2. </w:t>
      </w:r>
      <w:r>
        <w:rPr>
          <w:rFonts w:ascii="Calibri" w:hAnsi="Calibri"/>
          <w:b w:val="0"/>
          <w:color w:val="3A4A28"/>
          <w:sz w:val="20"/>
        </w:rPr>
        <w:t>Leverage fragility — D/E of 158% with $3.1B debt creates significant interest expense burden; a CRE downturn could stress covenant compliance and limit strategic flexibility [4]</w:t>
      </w:r>
    </w:p>
    <w:p>
      <w:pPr>
        <w:spacing w:before="40" w:after="40"/>
        <w:ind w:left="283"/>
      </w:pPr>
      <w:r>
        <w:rPr>
          <w:rFonts w:ascii="Calibri" w:hAnsi="Calibri"/>
          <w:b/>
          <w:color w:val="4A6B25"/>
          <w:sz w:val="20"/>
        </w:rPr>
        <w:t xml:space="preserve">3. </w:t>
      </w:r>
      <w:r>
        <w:rPr>
          <w:rFonts w:ascii="Calibri" w:hAnsi="Calibri"/>
          <w:b w:val="0"/>
          <w:color w:val="3A4A28"/>
          <w:sz w:val="20"/>
        </w:rPr>
        <w:t>Margin compression from AI — automated valuation models and AI-powered market analysis could compress brokerage fees and research margins where CWK currently earns advisory premiums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CWK's business is partially exposed to AI disruption. The company's facilities management and transaction services rely heavily on local market knowledge, client relationships, and physical property management that AI cannot easily replicate [1]. However, AI tools could compress fees in valuation, research, and analytics services by automating market analysis that CWK brokers currently perform. CEO MacKay explicitly stated 'AI will create winners and losers' in CRE services, acknowledging the disruption risk [2]. The AI Impact Barometer research indicates AI will reshape office demand patterns over the next decade, directly affecting CWK's leasing business [2]. Capital markets and leasing brokerage involve relationship-driven advisory that is more defensible than data-oriented services. AI Opportunity (1/1): CWK generates early AI revenue through its AI+ initiative, Jasper deployment, and AI Impact Barometer — the company is actively monetizing AI tools for client insights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Cushman &amp; Wakefield Q4 and Full Year 2025 Earnings Release — record $10.3B revenue, 9% growth, 34% adjusted EPS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CIO Dive / CoStar / Allwork — Cushman &amp; Wakefield AI+ initiative, AI Impact Barometer, and CEO MacKay comments on AI disruption, 2025-2026</w:t>
      </w:r>
    </w:p>
    <w:p>
      <w:pPr>
        <w:spacing w:before="20" w:after="20"/>
        <w:ind w:left="170"/>
      </w:pPr>
      <w:r>
        <w:rPr>
          <w:rFonts w:ascii="Calibri" w:hAnsi="Calibri"/>
          <w:b/>
          <w:color w:val="4A6B25"/>
          <w:sz w:val="15"/>
        </w:rPr>
        <w:t xml:space="preserve">3. </w:t>
      </w:r>
      <w:r>
        <w:rPr>
          <w:rFonts w:ascii="Calibri" w:hAnsi="Calibri"/>
          <w:b w:val="0"/>
          <w:color w:val="3A4A28"/>
          <w:sz w:val="17"/>
        </w:rPr>
        <w:t>Cushman &amp; Wakefield ESG Report 2022 — SBTi-validated emissions targets, sustainability commitments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CWK (Cushman &amp; Wakefield),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