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CXAI</w:t>
      </w:r>
      <w:r>
        <w:rPr>
          <w:rFonts w:ascii="Calibri" w:hAnsi="Calibri"/>
          <w:b/>
          <w:color w:val="1A2010"/>
          <w:sz w:val="40"/>
        </w:rPr>
        <w:t xml:space="preserve">  CXApp Inc.</w:t>
      </w:r>
    </w:p>
    <w:p>
      <w:pPr>
        <w:spacing w:after="120"/>
      </w:pPr>
      <w:r>
        <w:rPr>
          <w:rFonts w:ascii="Calibri" w:hAnsi="Calibri"/>
          <w:b/>
          <w:color w:val="6E8450"/>
          <w:sz w:val="18"/>
        </w:rPr>
        <w:t>GROWTH SLEEVE · 2026-03-27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CXApp is a SaaS workplace experience and spatial intelligence platform serving global enterprises with AI-driven solutions for hybrid work, employee engagement, and digital workplace orchestration. The company deploys across 200 cities in 50 countries, serving Fortune 500 and Fortune 1000 clients.</w:t>
      </w:r>
    </w:p>
    <w:p>
      <w:r>
        <w:rPr>
          <w:rFonts w:ascii="Calibri" w:hAnsi="Calibri"/>
          <w:b/>
          <w:color w:val="6E8450"/>
          <w:sz w:val="18"/>
        </w:rPr>
        <w:t>41 Employees · https://cxapp.com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CXApp's CXAI Platform addresses the emerging agentic AI and spatial intelligence market for digital workplaces, earning recognition as a Representative Vendor in Gartner's 2025 Market Guide [1]. The Zero-Touch Campus Deployment platform (March 2026) and AI-powered enterprise digital twins demonstrate genuine technology innovation [2]. However, with only $5.2M in TTM revenue and declining 41.3% YoY, the company has failed to translate technological innovation into commercial traction at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Sheikh articulates an ambitious vision for agentic AI in the workplace, but with 41 employees, $8M market cap, and a stock trading at $0.22 (85% below 52-week high), the gap between vision and execution undermines stakeholder confidence [1]. The company was granted extended Nasdaq compliance time (March 2026), signaling delisting risk. Despite Fortune 500 client logos, the inability to generate meaningful revenue from these relationships raises questions about product-market fit.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Average daily volume of 9,828,779 multiplied by $0.22 stock price equals approximately $2.2M, exceeding the $1M threshold. However, fundamentals are deeply impaired: profit margin of -215.4%, ROE of -76.2%, revenue declining 41.3% YoY to $5.2M TTM, and net loss of -$53.6M on an $8M market cap [1]. The 87% gross margin is excellent for SaaS but meaningless at this revenue scale, and operating cash burn of -$7.2M annually requires constant external financing. D/E of 45.0% is moderate but the business generates no cash to service obligations.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CXApp operates in survival mode with a $8M market cap, 41 employees, declining revenue (-41.3% YoY), and Nasdaq delisting risk. While the agentic AI workplace vision is forward-looking, the company's inability to monetize its technology despite deployments across 200 cities and 50 countries suggests fundamental commercial viability challenges that override any long-term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vision of creating AI-driven workplace experiences that enhance employee engagement and productivity is relevant and timely [1]. The Gartner recognition and Fortune 500 client relationships validate the concept, but the $5.2M revenue base shows the market has not yet rewarded the vision with meaningful spend.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41 employees facing Nasdaq delisting risk, 85% stock decline, and -41.3% revenue decline, team trust and retention are critically challenged [1]. The company's global footprint across 200 cities with only 41 employees suggests heavy reliance on partnerships and contractors.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CXApp competes against Microsoft Viva, ServiceNow, and other enterprise workplace platforms with billions in revenue and thousands of developers [1]. The competitive asymmetry is overwhelming — CXApp's $5.2M revenue cannot sustain competitive investment against platform companies.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Zero-Touch Campus Deployment launch and ARR-focused subscription model show attempts to adapt, but the 41.3% revenue decline suggests the pivots are not working [2]. With an $8M market cap, the company has virtually no resources for meaningful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Gartner validation and Fortune 500 clients, CXApp has been unable to scale beyond $5-7M annual revenue over multiple years [1]. The gap between visionary positioning and commercial results suggests execution challenges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CXApp offers a speculative option on the agentic AI workplace market at an $8M market cap, with Gartner Representative Vendor recognition, 87% gross margins, and deployments in 200 cities across 50 countries serving Fortune 500 companies [1]. If the company can stabilize revenue decline and convert existing client deployments into expanding ARR, the SaaS metrics (99% subscription revenue, 10% ARR growth from renewals) suggest a viable business model at scale [2]. The Zero-Touch Campus Deployment platform could accelerate enterprise adoption by reducing implementation complexity.</w:t>
      </w:r>
    </w:p>
    <w:p>
      <w:pPr>
        <w:spacing w:after="120"/>
      </w:pPr>
      <w:r>
        <w:rPr>
          <w:rFonts w:ascii="Calibri" w:hAnsi="Calibri"/>
          <w:b w:val="0"/>
          <w:color w:val="3A4A28"/>
          <w:sz w:val="20"/>
        </w:rPr>
        <w:t>The risks are overwhelming — revenue declined 41.3% YoY to $5.2M, net loss of -$53.6M dwarfs the $8M market cap by 6.7x, and Nasdaq delisting risk requires extended compliance periods [1]. The company burns -$7.2M annually with only 41 employees, suggesting unsustainable cost structure relative to revenue. Microsoft, Google, and ServiceNow can replicate workplace AI features with minimal effort, making CXApp's competitive position precarious [2]. Multiple years of sub-$8M revenue despite Fortune 500 clients demonstrates a fundamental product-market fit problem — enterprises may value the concept but not enough to pay meaningful subscription fees. The stock's 85% decline and $0.22 price point attract speculative retail traders rather than institutional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stabilization and ARR growth reacceleration from existing Fortune 500 client expansion, demonstrating that the 10% renewal-driven ARR growth can translate to positive revenue trajectory [1]</w:t>
      </w:r>
    </w:p>
    <w:p>
      <w:pPr>
        <w:spacing w:before="40" w:after="40"/>
        <w:ind w:left="283"/>
      </w:pPr>
      <w:r>
        <w:rPr>
          <w:rFonts w:ascii="Calibri" w:hAnsi="Calibri"/>
          <w:b/>
          <w:color w:val="4A6B25"/>
          <w:sz w:val="20"/>
        </w:rPr>
        <w:t xml:space="preserve">2. </w:t>
      </w:r>
      <w:r>
        <w:rPr>
          <w:rFonts w:ascii="Calibri" w:hAnsi="Calibri"/>
          <w:b w:val="0"/>
          <w:color w:val="3A4A28"/>
          <w:sz w:val="20"/>
        </w:rPr>
        <w:t>Strategic acquisition by a larger enterprise software company (Microsoft, ServiceNow, Cisco) seeking spatial intelligence and agentic AI workplace technology [2]</w:t>
      </w:r>
    </w:p>
    <w:p>
      <w:pPr>
        <w:spacing w:before="40" w:after="40"/>
        <w:ind w:left="283"/>
      </w:pPr>
      <w:r>
        <w:rPr>
          <w:rFonts w:ascii="Calibri" w:hAnsi="Calibri"/>
          <w:b/>
          <w:color w:val="4A6B25"/>
          <w:sz w:val="20"/>
        </w:rPr>
        <w:t xml:space="preserve">3. </w:t>
      </w:r>
      <w:r>
        <w:rPr>
          <w:rFonts w:ascii="Calibri" w:hAnsi="Calibri"/>
          <w:b w:val="0"/>
          <w:color w:val="3A4A28"/>
          <w:sz w:val="20"/>
        </w:rPr>
        <w:t>Gartner Market Guide positioning attracting new enterprise clients in the 2026 procurement cycle as agentic AI workplace budgets emerge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if compliance requirements are not met, eliminating institutional access and triggering forced selling that could push shares below $0.10 [1]</w:t>
      </w:r>
    </w:p>
    <w:p>
      <w:pPr>
        <w:spacing w:before="40" w:after="40"/>
        <w:ind w:left="283"/>
      </w:pPr>
      <w:r>
        <w:rPr>
          <w:rFonts w:ascii="Calibri" w:hAnsi="Calibri"/>
          <w:b/>
          <w:color w:val="4A6B25"/>
          <w:sz w:val="20"/>
        </w:rPr>
        <w:t xml:space="preserve">2. </w:t>
      </w:r>
      <w:r>
        <w:rPr>
          <w:rFonts w:ascii="Calibri" w:hAnsi="Calibri"/>
          <w:b w:val="0"/>
          <w:color w:val="3A4A28"/>
          <w:sz w:val="20"/>
        </w:rPr>
        <w:t>Revenue decline continues below $4M annualized, exhausting cash reserves and forcing shutdown or fire-sale asset disposition [1]</w:t>
      </w:r>
    </w:p>
    <w:p>
      <w:pPr>
        <w:spacing w:before="40" w:after="40"/>
        <w:ind w:left="283"/>
      </w:pPr>
      <w:r>
        <w:rPr>
          <w:rFonts w:ascii="Calibri" w:hAnsi="Calibri"/>
          <w:b/>
          <w:color w:val="4A6B25"/>
          <w:sz w:val="20"/>
        </w:rPr>
        <w:t xml:space="preserve">3. </w:t>
      </w:r>
      <w:r>
        <w:rPr>
          <w:rFonts w:ascii="Calibri" w:hAnsi="Calibri"/>
          <w:b w:val="0"/>
          <w:color w:val="3A4A28"/>
          <w:sz w:val="20"/>
        </w:rPr>
        <w:t>Microsoft Viva, Google Workspace, or ServiceNow launching competing spatial intelligence features that commoditize CXApp's differentiation at enterprise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Ironically, CXApp is an AI company that both benefits from and is threatened by AI trends. The company's CXAI Platform positions it in the agentic AI and digital workplace space, and Gartner recognition validates the market direction [1]. However, larger platforms (Microsoft Viva, Google Workspace, ServiceNow) can rapidly build competing workplace AI features with vastly greater resources and existing enterprise relationships, threatening to commoditize CXApp's value proposition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CXApp Q3 2025 Earnings; Gartner 2025 Market Guide for Workplace Experience Applications; CXApp corporate press releases,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CXAI key statistics, accessed March 2026; StockTitan — CXAI news and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