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CXW</w:t>
      </w:r>
      <w:r>
        <w:rPr>
          <w:rFonts w:ascii="Calibri" w:hAnsi="Calibri"/>
          <w:b/>
          <w:color w:val="1A2010"/>
          <w:sz w:val="40"/>
        </w:rPr>
        <w:t xml:space="preserve">  CoreCivic, Inc.</w:t>
      </w:r>
    </w:p>
    <w:p>
      <w:pPr>
        <w:spacing w:after="120"/>
      </w:pPr>
      <w:r>
        <w:rPr>
          <w:rFonts w:ascii="Calibri" w:hAnsi="Calibri"/>
          <w:b/>
          <w:color w:val="6E8450"/>
          <w:sz w:val="18"/>
        </w:rPr>
        <w:t>GROWTH SLEEVE · 2026-05-02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CoreCivic owns and operates partnership correctional, detention, and residential reentry facilities in the United States, providing solutions to government partners across three segments: CoreCivic Safety, CoreCivic Community, and CoreCivic Properties.</w:t>
      </w:r>
    </w:p>
    <w:p>
      <w:r>
        <w:rPr>
          <w:rFonts w:ascii="Calibri" w:hAnsi="Calibri"/>
          <w:b/>
          <w:color w:val="6E8450"/>
          <w:sz w:val="18"/>
        </w:rPr>
        <w:t>13,651 Employees · https://www.corecivic.com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CoreCivic operates in a low-innovation industry with minimal R&amp;D investment or technology differentiation [1]. The company has invested in electronic monitoring and reentry programming but lacks meaningful AI deployment or disruptive product pipeline. Market share gains are driven by government policy shifts (ICE expansion) rather than organic innovation, with revenue dependent on 103% growth in ICE contracts under current administration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CoreCivic's mission of 'better the public good' through incarceration services faces credibility challenges given Glassdoor ratings of 2.6/5 overall and 2.2/5 for culture and values [3]. DOJ civil rights investigations, forced labor allegations, and detainee deaths undermine stated values [5][6]. New CEO Patrick Swindle introduced 'B8 Leadership Principles' but employee reviews cite poor management and understaffing as persistent issues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financial trajectory with 2025 revenue of $2.2B (up 13% YoY), net income up 69%, and 2026 guidance of $1.49-$1.59 EPS representing ~40% growth [1][2]. Forward P/E of 10.0 is attractive, D/E of 96% is manageable for asset-heavy REIT-like operations, and PEG of 1.06 signals fair value. Liquidity is adequate at 1.1M avg daily volume × $20.58 = $23.2M daily turnover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CoreCivic operates with a predominantly finite mindset, optimizing for quarterly contract wins and capacity utilization rather than building lasting societal value. Dependence on political cycles and government contracts creates vulnerability to policy reversals [5][6].</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CoreCivic's stated mission of public safety is undermined by profit incentives that conflict with rehabilitation outcomes. Human rights organizations, the ACLU, and DOJ investigations challenge the company's social license to operate [5][6]. Revenue growth tied to mass incarceration expansion rather than reducing recidivism signals misaligned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2.6/5 with work-life balance at 2.1/5 indicates significant employee dissatisfaction [3]. FBI investigations of guard misconduct, chronic understaffing, and high turnover undermine trust within the organization. New leadership principles (B8) represent aspiration rather than demonstrated cultural transformation.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CoreCivic competes directly with GEO Group for federal contracts, maintaining awareness of competitive positioning. However, the duopoly structure and government contract dependence limit genuine competitive learning — wins are driven by lobbying spend and political relationships rather than operational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CoreCivic has shown some flexibility through its Properties segment (repurposing facilities) and Community segment (reentry services), but the business remains overwhelmingly dependent on incarceration contracts. The 103% ICE revenue surge creates concentration risk if policy reverses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transition to Patrick Swindle represents operational continuity rather than transformational courage. The company invested in lobbying ($3M+ annually) to influence favorable policy rather than leading industry reform. Some credit for transparency through ESG reporting, but fundamental business model remains politically controversial.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CoreCivic is a high-conviction policy beneficiary experiencing exceptional near-term growth from expanded federal immigration detention contracts under the current administration. With 2026 guided EPS growth of ~40% and a forward P/E under 10, the stock offers compelling value for investors willing to accept political and ethical risk.</w:t>
      </w:r>
    </w:p>
    <w:p>
      <w:pPr>
        <w:spacing w:after="120"/>
      </w:pPr>
      <w:r>
        <w:rPr>
          <w:rFonts w:ascii="Calibri" w:hAnsi="Calibri"/>
          <w:b w:val="0"/>
          <w:color w:val="3A4A28"/>
          <w:sz w:val="20"/>
        </w:rPr>
        <w:t>The bull case rests on sustained immigration enforcement spending pushing revenue toward the $2.5B run-rate target by mid-2026. However, the business faces existential policy risk (executive orders can reverse overnight), reputational headwinds from human rights controversies, and structural ESG exclusion from many institutional portfolios. Best suited for contrarian value investors with short-to-medium time horizons.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ICE contract expansion with 100,000 detainee target driving $300M+ in new contract value through 2026</w:t>
      </w:r>
    </w:p>
    <w:p>
      <w:pPr>
        <w:spacing w:before="40" w:after="40"/>
        <w:ind w:left="283"/>
      </w:pPr>
      <w:r>
        <w:rPr>
          <w:rFonts w:ascii="Calibri" w:hAnsi="Calibri"/>
          <w:b/>
          <w:color w:val="4A6B25"/>
          <w:sz w:val="20"/>
        </w:rPr>
        <w:t xml:space="preserve">2. </w:t>
      </w:r>
      <w:r>
        <w:rPr>
          <w:rFonts w:ascii="Calibri" w:hAnsi="Calibri"/>
          <w:b w:val="0"/>
          <w:color w:val="3A4A28"/>
          <w:sz w:val="20"/>
        </w:rPr>
        <w:t>Previously idle facilities returning to full utilization, with annual EBITDA run-rate increasing $100M</w:t>
      </w:r>
    </w:p>
    <w:p>
      <w:pPr>
        <w:spacing w:before="40" w:after="40"/>
        <w:ind w:left="283"/>
      </w:pPr>
      <w:r>
        <w:rPr>
          <w:rFonts w:ascii="Calibri" w:hAnsi="Calibri"/>
          <w:b/>
          <w:color w:val="4A6B25"/>
          <w:sz w:val="20"/>
        </w:rPr>
        <w:t xml:space="preserve">3. </w:t>
      </w:r>
      <w:r>
        <w:rPr>
          <w:rFonts w:ascii="Calibri" w:hAnsi="Calibri"/>
          <w:b w:val="0"/>
          <w:color w:val="3A4A28"/>
          <w:sz w:val="20"/>
        </w:rPr>
        <w:t>Forward P/E of 10x with 40% EPS growth provides significant multiple expansion opportunity if sentiment improves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reversal risk: executive order or policy change could rapidly reduce ICE detention demand and strand idle capacity</w:t>
      </w:r>
    </w:p>
    <w:p>
      <w:pPr>
        <w:spacing w:before="40" w:after="40"/>
        <w:ind w:left="283"/>
      </w:pPr>
      <w:r>
        <w:rPr>
          <w:rFonts w:ascii="Calibri" w:hAnsi="Calibri"/>
          <w:b/>
          <w:color w:val="4A6B25"/>
          <w:sz w:val="20"/>
        </w:rPr>
        <w:t xml:space="preserve">2. </w:t>
      </w:r>
      <w:r>
        <w:rPr>
          <w:rFonts w:ascii="Calibri" w:hAnsi="Calibri"/>
          <w:b w:val="0"/>
          <w:color w:val="3A4A28"/>
          <w:sz w:val="20"/>
        </w:rPr>
        <w:t>Reputational and legal exposure from ongoing DOJ investigations, forced labor lawsuits, and detainee deaths that could impair contract renewals</w:t>
      </w:r>
    </w:p>
    <w:p>
      <w:pPr>
        <w:spacing w:before="40" w:after="40"/>
        <w:ind w:left="283"/>
      </w:pPr>
      <w:r>
        <w:rPr>
          <w:rFonts w:ascii="Calibri" w:hAnsi="Calibri"/>
          <w:b/>
          <w:color w:val="4A6B25"/>
          <w:sz w:val="20"/>
        </w:rPr>
        <w:t xml:space="preserve">3. </w:t>
      </w:r>
      <w:r>
        <w:rPr>
          <w:rFonts w:ascii="Calibri" w:hAnsi="Calibri"/>
          <w:b w:val="0"/>
          <w:color w:val="3A4A28"/>
          <w:sz w:val="20"/>
        </w:rPr>
        <w:t>ESG exclusion by institutional investors limits capital access and creates structural discount to intrinsic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Private corrections and detention facilities face minimal AI disruption risk — physical custody services cannot be automated or digitized [1]. AI may modestly improve operational efficiency through scheduling, surveillance analytics, and predictive staffing models, but CoreCivic's core value proposition (bed capacity for government partners) is inherently physical. The company's growth is driven by immigration policy, not technology shifts, making it largely immune to AI-driven displacement.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CoreCivic Q4/FY2025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CoreCivic targets $2.5B revenue and $445M EBITDA in 2026,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CoreCivic Employee Reviews (701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CoreCivic 2024 Corporate Responsibility Report</w:t>
      </w:r>
    </w:p>
    <w:p>
      <w:pPr>
        <w:spacing w:before="20" w:after="20"/>
        <w:ind w:left="170"/>
      </w:pPr>
      <w:r>
        <w:rPr>
          <w:rFonts w:ascii="Calibri" w:hAnsi="Calibri"/>
          <w:b/>
          <w:color w:val="4A6B25"/>
          <w:sz w:val="15"/>
        </w:rPr>
        <w:t xml:space="preserve">5. </w:t>
      </w:r>
      <w:r>
        <w:rPr>
          <w:rFonts w:ascii="Calibri" w:hAnsi="Calibri"/>
          <w:b w:val="0"/>
          <w:color w:val="3A4A28"/>
          <w:sz w:val="17"/>
        </w:rPr>
        <w:t>The Intercept — ICE's Private Prison Contractors lobbying coverage, February 2026</w:t>
      </w:r>
    </w:p>
    <w:p>
      <w:pPr>
        <w:spacing w:before="20" w:after="20"/>
        <w:ind w:left="170"/>
      </w:pPr>
      <w:r>
        <w:rPr>
          <w:rFonts w:ascii="Calibri" w:hAnsi="Calibri"/>
          <w:b/>
          <w:color w:val="4A6B25"/>
          <w:sz w:val="15"/>
        </w:rPr>
        <w:t xml:space="preserve">6. </w:t>
      </w:r>
      <w:r>
        <w:rPr>
          <w:rFonts w:ascii="Calibri" w:hAnsi="Calibri"/>
          <w:b w:val="0"/>
          <w:color w:val="3A4A28"/>
          <w:sz w:val="17"/>
        </w:rPr>
        <w:t>ACLU of Kansas — CoreCivic safety concerns report, 2025</w:t>
      </w:r>
    </w:p>
    <w:p>
      <w:pPr>
        <w:spacing w:before="20" w:after="20"/>
        <w:ind w:left="170"/>
      </w:pPr>
      <w:r>
        <w:rPr>
          <w:rFonts w:ascii="Calibri" w:hAnsi="Calibri"/>
          <w:b/>
          <w:color w:val="4A6B25"/>
          <w:sz w:val="15"/>
        </w:rPr>
        <w:t xml:space="preserve">7. </w:t>
      </w:r>
      <w:r>
        <w:rPr>
          <w:rFonts w:ascii="Calibri" w:hAnsi="Calibri"/>
          <w:b w:val="0"/>
          <w:color w:val="3A4A28"/>
          <w:sz w:val="17"/>
        </w:rPr>
        <w:t>Yahoo Finance — CXW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