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CYCN</w:t>
      </w:r>
      <w:r>
        <w:rPr>
          <w:rFonts w:ascii="Calibri" w:hAnsi="Calibri"/>
          <w:b/>
          <w:color w:val="1A2010"/>
          <w:sz w:val="40"/>
        </w:rPr>
        <w:t xml:space="preserve">  Cyclerion Therapeutics, Inc.</w:t>
      </w:r>
    </w:p>
    <w:p>
      <w:pPr>
        <w:spacing w:after="120"/>
      </w:pPr>
      <w:r>
        <w:rPr>
          <w:rFonts w:ascii="Calibri" w:hAnsi="Calibri"/>
          <w:b/>
          <w:color w:val="6E8450"/>
          <w:sz w:val="18"/>
        </w:rPr>
        <w:t>GROWTH SLEEVE · 2026-04-26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Cyclerion Therapeutics is a clinical-stage biopharmaceutical company focused on neuropsychiatric diseases. The company's lead program CYC-126 targets treatment-resistant depression using sGC stimulator technology licensed from MIT. Cyclerion has announced a strategic agreement with Medsteer and is pursuing a Phase 2 proof-of-concept study. The company is also undergoing a proposed merger with Korsana Biosciences.</w:t>
      </w:r>
    </w:p>
    <w:p>
      <w:r>
        <w:rPr>
          <w:rFonts w:ascii="Calibri" w:hAnsi="Calibri"/>
          <w:b/>
          <w:color w:val="6E8450"/>
          <w:sz w:val="18"/>
        </w:rPr>
        <w:t>1 Employees · https://www.cyclerion.com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Cyclerion has pivoted from a broader sGC platform to focus specifically on neuropsychiatric disease, relaunching as a depression-focused biotech with CYC-126 targeting 3 million treatment-resistant depression patients [1]. This represents a survival pivot rather than a growth-driven transformation. AI Deployment (1/2): Cyclerion's strategic partner Medsteer uses AI-based algorithms for automated drug delivery, and the company's team includes machine learning expertise [2]. However, no AI-powered products have shipped to patients or generated quantifiable savings. Market Share (0/2): Pre-revenue clinical-stage company with no marketed products and no market share in any therapeutic category [1]. Pipeline (2/2): CYC-126 Phase 2 proof-of-concept study for treatment-resistant depression is expected to launch in late 2026, with MIT-licensed technology providing scientific credibility and specific clinical timelines [1][2]. R&amp;D Intensity (0/1): With only 1 full-time employee and $2M in total revenue, R&amp;D spending relative to peers is negligible in absolute terms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Cyclerion's mission to develop breakthrough therapies for treatment-resistant depression addresses a genuinely underserved patient population of 3 million people, demonstrating specific and thoughtful purpose beyond profit [1]. CEO Dr. Regina Graul's scientific background lends credibility to the therapeutic mission. Community Impact (0/2): No evidence of charitable programs or community investment beyond the core therapeutic mission, which is expected for a 1-employee company [3]. Employee Retention (1/2): Glassdoor reviews from the earlier, larger company describe dedicated people who care about patients and each other, though the organization has shrunk dramatically to 1 FTE [2]. Insider Buying (0/2): No evidence of meaningful net insider buying; the proposed Korsana merger where Cyclerion shareholders retain only 1.5% of the combined entity has triggered shareholder investigations by Halper Sadeh LLC and Ademi LLP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Cyclerion's financial profile reflects a clinical-stage biotech with minimal revenue and no path to near-term profitability. Total revenue was $2.07M in 2025, declining 43.2% from $2.0M in 2024 (which itself followed $0 in 2023) [3]. Profit margin of -170% and ROE of -39.3% reflect the pre-commercial reality. The company has no debt (D/E null), holding $3.2M in cash with negative free cash flow of -$2.9M, suggesting limited runway without additional financing [3]. Market cap of just $12.7M values the company at roughly 6x trailing revenue. The company has expressed substantial doubt about its ability to continue as a going concern [1]. Liquidity technically clears the floor using 3-month average volume, though recent daily volume has declined significantly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Cyclerion is a survival-mode biotech that has pivoted multiple times and now faces a proposed merger where existing shareholders retain only 1.5% ownership. While the therapeutic mission of treating depression is genuinely purposeful, the organizational instability, going-concern doubts, and shareholder-dilutive merger suggest a company playing to survive rather than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breakthrough therapies for 3 million treatment-resistant depression patients represents a genuine, distinctive cause that connects Cyclerion's work to real human suffering [1]. The mission is service-oriented and addresses an underserved population. However, the cause has not been validated through decades of execution — the company has pivoted repeatedly and has yet to bring any therapy to market.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 full-time employee, there is no organizational team to evaluate for trust [3]. The company has shrunk from a larger operation to essentially a shell managing clinical partnerships and IP. Previous Glassdoor reviews referenced caring colleagues, but those employees are largely gone. The proposed Korsana merger and shareholder investigations suggest governance instability rather than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Cyclerion engages in meaningful competitive analysis or acknowledges rivals' strengths in the treatment-resistant depression space [1]. As a micro-cap clinical-stage company, competitive positioning appears focused on survival and differentiation through mechanism of action rather than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Cyclerion has pivoted from a broader sGC platform to neuropsychiatry, these pivots appear driven by desperation (asset disposals, going-concern doubts) rather than strategic vision in service of a Just Cause [1][4]. The proposed Korsana merger represents another pivot where existing shareholders are severely diluted to 1.5% ownership, suggesting survival-driven moves rather than purposeful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or principled stands. The company's trajectory — repeated pivots, workforce reduction to 1 employee, going-concern warnings, and a merger that dilutes shareholders to 1.5% — reflects reactive survival management rather than courageous long-term thinking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Cyclerion offers a high-risk, high-reward bet on CYC-126 for treatment-resistant depression, a condition affecting 3 million patients with limited existing treatment options [1]. The MIT-licensed sGC stimulator technology has scientific credibility, and the strategic Medsteer partnership integrates AI-based drug delivery for the planned Phase 2 study launching late 2026. At a $12.7M market cap, any positive clinical readout could generate outsized returns. The company carries no debt, and the CYC-126 mechanism targets an addressable market worth billions if approved [1][2].</w:t>
      </w:r>
    </w:p>
    <w:p>
      <w:pPr>
        <w:spacing w:after="120"/>
      </w:pPr>
      <w:r>
        <w:rPr>
          <w:rFonts w:ascii="Calibri" w:hAnsi="Calibri"/>
          <w:b w:val="0"/>
          <w:color w:val="3A4A28"/>
          <w:sz w:val="20"/>
        </w:rPr>
        <w:t>The bear case is existential. Cyclerion has expressed substantial doubt about its ability to continue as a going concern, with only $3.2M in cash, negative free cash flow of -$2.9M, and just 1 full-time employee [3]. Revenue declined 43.2% to $2.07M and consists entirely of licensing income rather than commercial product sales. The proposed Korsana Biosciences merger would dilute existing shareholders to just 1.5% of the combined entity, triggering investigations by multiple law firms [4]. The Phase 2 study has not yet enrolled patients, and clinical-stage biotechs have a ~90% failure rate. The stock's 3-month average volume may overstate true liquidity, with recent daily trading volume around 150K shares. Multiple prior pivots suggest management has not yet found a viable path to commercial success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CYC-126 Phase 2 proof-of-concept study for treatment-resistant depression expected to initiate in late 2026, with positive data potentially validating the sGC mechanism [1]</w:t>
      </w:r>
    </w:p>
    <w:p>
      <w:pPr>
        <w:spacing w:before="40" w:after="40"/>
        <w:ind w:left="283"/>
      </w:pPr>
      <w:r>
        <w:rPr>
          <w:rFonts w:ascii="Calibri" w:hAnsi="Calibri"/>
          <w:b/>
          <w:color w:val="4A6B25"/>
          <w:sz w:val="20"/>
        </w:rPr>
        <w:t xml:space="preserve">2. </w:t>
      </w:r>
      <w:r>
        <w:rPr>
          <w:rFonts w:ascii="Calibri" w:hAnsi="Calibri"/>
          <w:b w:val="0"/>
          <w:color w:val="3A4A28"/>
          <w:sz w:val="20"/>
        </w:rPr>
        <w:t>Medsteer strategic partnership integrating AI-based automated drug delivery technology into the CYC-126 program, potentially accelerating clinical development [2]</w:t>
      </w:r>
    </w:p>
    <w:p>
      <w:pPr>
        <w:spacing w:before="40" w:after="40"/>
        <w:ind w:left="283"/>
      </w:pPr>
      <w:r>
        <w:rPr>
          <w:rFonts w:ascii="Calibri" w:hAnsi="Calibri"/>
          <w:b/>
          <w:color w:val="4A6B25"/>
          <w:sz w:val="20"/>
        </w:rPr>
        <w:t xml:space="preserve">3. </w:t>
      </w:r>
      <w:r>
        <w:rPr>
          <w:rFonts w:ascii="Calibri" w:hAnsi="Calibri"/>
          <w:b w:val="0"/>
          <w:color w:val="3A4A28"/>
          <w:sz w:val="20"/>
        </w:rPr>
        <w:t>Proposed Korsana Biosciences merger could provide additional pipeline assets and capital, though at severe dilution to existing shareholders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doubt — $3.2M cash with -$2.9M annual free cash flow and 1 employee creates existential risk without additional financing or a completed merger [3]</w:t>
      </w:r>
    </w:p>
    <w:p>
      <w:pPr>
        <w:spacing w:before="40" w:after="40"/>
        <w:ind w:left="283"/>
      </w:pPr>
      <w:r>
        <w:rPr>
          <w:rFonts w:ascii="Calibri" w:hAnsi="Calibri"/>
          <w:b/>
          <w:color w:val="4A6B25"/>
          <w:sz w:val="20"/>
        </w:rPr>
        <w:t xml:space="preserve">2. </w:t>
      </w:r>
      <w:r>
        <w:rPr>
          <w:rFonts w:ascii="Calibri" w:hAnsi="Calibri"/>
          <w:b w:val="0"/>
          <w:color w:val="3A4A28"/>
          <w:sz w:val="20"/>
        </w:rPr>
        <w:t>Korsana merger dilution — existing Cyclerion shareholders would retain only 1.5% of the combined entity, with shareholder investigations from Halper Sadeh LLC and Ademi LLP questioning fairness [4]</w:t>
      </w:r>
    </w:p>
    <w:p>
      <w:pPr>
        <w:spacing w:before="40" w:after="40"/>
        <w:ind w:left="283"/>
      </w:pPr>
      <w:r>
        <w:rPr>
          <w:rFonts w:ascii="Calibri" w:hAnsi="Calibri"/>
          <w:b/>
          <w:color w:val="4A6B25"/>
          <w:sz w:val="20"/>
        </w:rPr>
        <w:t xml:space="preserve">3. </w:t>
      </w:r>
      <w:r>
        <w:rPr>
          <w:rFonts w:ascii="Calibri" w:hAnsi="Calibri"/>
          <w:b w:val="0"/>
          <w:color w:val="3A4A28"/>
          <w:sz w:val="20"/>
        </w:rPr>
        <w:t>Phase 2 clinical risk — CYC-126 has not yet enrolled patients, and clinical-stage biotechs have approximately 90% failure rate from Phase 2 to approval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Cyclerion operates in clinical-stage drug development, which is heavily regulated by the FDA and requires physical clinical trials, patient enrollment, and biological validation that AI cannot replace [1]. AI tools may accelerate drug discovery timelines but cannot substitute for the regulatory approval process or the biological mechanism of sGC stimulation. The treatment-resistant depression therapeutic area requires clinical evidence that only human trials can generate. AI Opportunity (1/1): Cyclerion's strategic partner Medsteer deploys AI-based algorithms for automated propofol and remifentanil delivery, and the company's relaunch team includes machine learning expertise, indicating direct integration of AI into the CYC-126 development program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Cyclerion Therapeutics transformational relaunch announcement — CYC-126 for treatment-resistant depression, 3M patient addressable market, Phase 2 timeline, 2025-2026</w:t>
      </w:r>
    </w:p>
    <w:p>
      <w:pPr>
        <w:spacing w:before="20" w:after="20"/>
        <w:ind w:left="170"/>
      </w:pPr>
      <w:r>
        <w:rPr>
          <w:rFonts w:ascii="Calibri" w:hAnsi="Calibri"/>
          <w:b/>
          <w:color w:val="4A6B25"/>
          <w:sz w:val="15"/>
        </w:rPr>
        <w:t xml:space="preserve">2. </w:t>
      </w:r>
      <w:r>
        <w:rPr>
          <w:rFonts w:ascii="Calibri" w:hAnsi="Calibri"/>
          <w:b w:val="0"/>
          <w:color w:val="3A4A28"/>
          <w:sz w:val="17"/>
        </w:rPr>
        <w:t>Cyclerion Therapeutics strategic agreement with Medsteer — AI-based drug delivery partnership, leadership appointments, CEO Dr. Regina Graul,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CYCN (Cyclerion Therapeutics) — financial metrics, going-concern warning, retrieved April 2026</w:t>
      </w:r>
    </w:p>
    <w:p>
      <w:pPr>
        <w:spacing w:before="20" w:after="20"/>
        <w:ind w:left="170"/>
      </w:pPr>
      <w:r>
        <w:rPr>
          <w:rFonts w:ascii="Calibri" w:hAnsi="Calibri"/>
          <w:b/>
          <w:color w:val="4A6B25"/>
          <w:sz w:val="15"/>
        </w:rPr>
        <w:t xml:space="preserve">4. </w:t>
      </w:r>
      <w:r>
        <w:rPr>
          <w:rFonts w:ascii="Calibri" w:hAnsi="Calibri"/>
          <w:b w:val="0"/>
          <w:color w:val="3A4A28"/>
          <w:sz w:val="17"/>
        </w:rPr>
        <w:t>Halper Sadeh LLC and Ademi LLP shareholder investigations — Korsana Biosciences merger fairness investigation, 1.5% ownership retention,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