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CYH</w:t>
      </w:r>
      <w:r>
        <w:rPr>
          <w:rFonts w:ascii="Calibri" w:hAnsi="Calibri"/>
          <w:b/>
          <w:color w:val="1A2010"/>
          <w:sz w:val="40"/>
        </w:rPr>
        <w:t xml:space="preserve">  Community Health Systems, Inc.</w:t>
      </w:r>
    </w:p>
    <w:p>
      <w:pPr>
        <w:spacing w:after="120"/>
      </w:pPr>
      <w:r>
        <w:rPr>
          <w:rFonts w:ascii="Calibri" w:hAnsi="Calibri"/>
          <w:b/>
          <w:color w:val="6E8450"/>
          <w:sz w:val="18"/>
        </w:rPr>
        <w:t>GROWTH SLEEVE · 2026-04-24 · Inspire: 30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NYSE · United States</w:t>
      </w:r>
    </w:p>
    <w:p>
      <w:pPr>
        <w:spacing w:after="80"/>
      </w:pPr>
      <w:r>
        <w:rPr>
          <w:rFonts w:ascii="Calibri" w:hAnsi="Calibri"/>
          <w:b w:val="0"/>
          <w:color w:val="3A4A28"/>
          <w:sz w:val="20"/>
        </w:rPr>
        <w:t>Community Health Systems owns, leases, and operates general acute care hospitals across the United States, providing emergency, surgical, critical care, obstetric, diagnostic, psychiatric, and rehabilitation services. The company also operates outpatient facilities including urgent care centers, ambulatory surgery centers, and imaging centers.</w:t>
      </w:r>
    </w:p>
    <w:p>
      <w:r>
        <w:rPr>
          <w:rFonts w:ascii="Calibri" w:hAnsi="Calibri"/>
          <w:b/>
          <w:color w:val="6E8450"/>
          <w:sz w:val="18"/>
        </w:rPr>
        <w:t>44,000 Employees · https://www.chs.net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CHS has undergone significant portfolio rationalization, divesting hospitals and facilities over the past five years to reduce its footprint from 200+ hospitals to a more focused portfolio, but this represents contraction rather than innovation — no new service lines or transformative business model shifts [1]. AI Deployment (0/2): No evidence of AI-powered clinical products, AI-driven operational efficiencies, or measurable AI deployment results. The company's Q1 2026 earnings call focused on volume trends and cost management, not technology innovation [1][2]. Market Share (1/2): CHS remains a meaningful player in rural and community hospital markets but has been steadily losing scale through divestitures; same-store adjusted admissions declined 0.5% in Q1 2026 [1]. Pipeline (1/2): The company is investing in strategic growth through new service lines and facility expansions, but specific pipeline visibility is limited; Q1 2026 guidance of $11.6-12.0B revenue suggests continued portfolio optimization [1]. R&amp;D Intensity (0/1): Hospital operators do not invest meaningfully in R&amp;D; CHS's capital expenditure ($350-400M guided) is focused on facility maintenance and equipment, not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CHS's mission to provide quality healthcare services is generic and interchangeable with any hospital operator — there is no distinctive purpose or vision beyond standard industry language [3]. Community Impact (1/2): As a hospital operator serving primarily rural and underserved communities, CHS provides essential healthcare access across its markets, though a $1B lawsuit alleges the company funneled public funds meant for low-income patients at its downtown Fresno hospital toward its suburban Clovis campus [4]. Employee Retention (0/2): Glassdoor rating of approximately 3.0/5 with reports of 50% turnover rate, poor leadership, 'zero career development,' and employees describing a 'disorganized' culture with 'poor communication' [3]. Insider Buying (0/2): No evidence of net insider buying — CEO Kevin Hammons received stock award grants (200,000 shares) in February 2026, but these are compensation grants, not open-market purchases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CHS operates with deeply negative shareholder equity (book value -$10.68/share) due to $10.8B in total debt against $712M cash, making D/E and ROE incalculable [6]. Revenue of $12.5B (FY2025) is declining, with FY2026 guidance of $11.6-12.0B reflecting continued divestitures [1]. Forward P/E of 16.8x appears reasonable but masks the high financial leverage risk. Profit margin of 3.8% is thin for a company carrying $10B+ in debt. Adjusted EBITDA declined 17.8% YoY in Q1 2026 to $309M with margin compression to 10.4% [1]. The $350M market cap sits beneath $10.8B in debt, creating a highly leveraged equity stub. PEG of 2.38 is elevated. Five-year revenue CAGR of approximately 0.5% reflects the offsetting effects of same-store growth and hospital divestitures. Liquidity floor cleared: $4.3M daily dollar volume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CHS exhibits classic finite game characteristics: CEO turnover (Hingtgen departed October 2025, replaced by interim then permanent CEO Hammons), years of asset divestitures to service debt, a $98M False Claims Act settlement, a $1B lawsuit alleging racial inequity in resource allocation, and a culture described by employees as having 50% turnover with poor leadership. The company is playing to survive, not to endure.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CHS has no articulated Just Cause beyond generic healthcare delivery. The company's strategic narrative is dominated by debt reduction, portfolio rationalization, and same-store volume metrics — financial engineering language, not purpose-driven language [1][3]. No evidence of a vision of a future state that inspires sacrifice or long-term commitment.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a low-trust environment with approximately 50% turnover, 'poor leadership and lack of vision,' 'zero career development,' and organizational disorganization [3]. The October 2025 CEO transition from Hingtgen to Hammons signals leadership instability. Multiple rounds of hospital divestitures and associated workforce reductions create a fear-based environment inconsistent with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CHS's competitive language focuses on market positioning and volume metrics rather than learning from rivals. The company competes with HCA Healthcare, Tenet Healthcare, and Universal Health Services but does not publicly acknowledge rivals' strengths as motivation for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CHS has been shrinking its hospital portfolio for years through divestitures, but this is defensive restructuring driven by debt burden rather than a visionary pivot in service of a Just Cause. The company clings to the same acute care hospital model it has operated for decades with no evidence of business model transformation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The dominant strategy is cost reduction, debt paydown, and portfolio shrinkage — optimizing the present rather than investing in the future. The $98M False Claims Act settlement and ongoing DOJ investigations suggest leadership has prioritized short-term revenue capture over principled compliance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CHS trades at a deeply discounted $350M market cap on $12.5B in revenue, with forward P/E of 16.8x suggesting Wall Street expects profitability normalization as portfolio optimization completes [1][6]. Q1 2026 revenue of $2.965B beat estimates with same-store net revenue up 3.1% YoY driven by 3.7% growth in net revenue per adjusted admission [1]. Full-year guidance of $1.34-1.49B adjusted EBITDA and $600-700M operating cash flow would support continued debt reduction. The company's rural and community hospital franchise provides essential healthcare infrastructure in markets with limited competition. At $2.49/share, any meaningful deleveraging could drive significant equity upside given the leveraged capital structure.</w:t>
      </w:r>
    </w:p>
    <w:p>
      <w:pPr>
        <w:spacing w:after="120"/>
      </w:pPr>
      <w:r>
        <w:rPr>
          <w:rFonts w:ascii="Calibri" w:hAnsi="Calibri"/>
          <w:b w:val="0"/>
          <w:color w:val="3A4A28"/>
          <w:sz w:val="20"/>
        </w:rPr>
        <w:t>The bear case is dominated by the crushing $10.8B debt load against just $350M in equity market cap — a 31x debt-to-market-cap ratio that makes CYH essentially a leveraged bet on hospital operations [6]. Adjusted EBITDA declined 17.8% YoY in Q1 2026 while same-store admissions fell 0.5%, suggesting the revenue recovery is price-driven rather than volume-driven [1]. FY2026 guidance of $11.6-12.0B revenue represents a decline from FY2025's $12.5B as divestitures continue shrinking the portfolio. The $98M False Claims Act settlement, ongoing DOJ investigation, and $1B racial equity lawsuit create significant legal liability [4]. A 50% employee turnover rate and Glassdoor ratings around 3.0 signal organizational dysfunction. CEO Kevin Hammons's permanent appointment in late 2025 after an interim period adds leadership uncertainty. Negative book value means equity holders are structurally subordinate to $10.8B in creditor claims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Debt reduction through continued hospital divestitures and operating cash flow of $600-700M guided for FY2026, potentially improving the equity stub's risk profile [1]</w:t>
      </w:r>
    </w:p>
    <w:p>
      <w:pPr>
        <w:spacing w:before="40" w:after="40"/>
        <w:ind w:left="283"/>
      </w:pPr>
      <w:r>
        <w:rPr>
          <w:rFonts w:ascii="Calibri" w:hAnsi="Calibri"/>
          <w:b/>
          <w:color w:val="4A6B25"/>
          <w:sz w:val="20"/>
        </w:rPr>
        <w:t xml:space="preserve">2. </w:t>
      </w:r>
      <w:r>
        <w:rPr>
          <w:rFonts w:ascii="Calibri" w:hAnsi="Calibri"/>
          <w:b w:val="0"/>
          <w:color w:val="3A4A28"/>
          <w:sz w:val="20"/>
        </w:rPr>
        <w:t>Same-store revenue per admission growth of 3.7% YoY in Q1 2026 suggesting pricing power in community hospital markets with limited competition [1]</w:t>
      </w:r>
    </w:p>
    <w:p>
      <w:pPr>
        <w:spacing w:before="40" w:after="40"/>
        <w:ind w:left="283"/>
      </w:pPr>
      <w:r>
        <w:rPr>
          <w:rFonts w:ascii="Calibri" w:hAnsi="Calibri"/>
          <w:b/>
          <w:color w:val="4A6B25"/>
          <w:sz w:val="20"/>
        </w:rPr>
        <w:t xml:space="preserve">3. </w:t>
      </w:r>
      <w:r>
        <w:rPr>
          <w:rFonts w:ascii="Calibri" w:hAnsi="Calibri"/>
          <w:b w:val="0"/>
          <w:color w:val="3A4A28"/>
          <w:sz w:val="20"/>
        </w:rPr>
        <w:t>Portfolio optimization completion — once divestitures stabilize, the remaining hospital portfolio may demonstrate stronger organic growth and margins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$10.8B debt load against $350M market cap creates existential refinancing risk if hospital operations deteriorate or credit markets tighten [6]</w:t>
      </w:r>
    </w:p>
    <w:p>
      <w:pPr>
        <w:spacing w:before="40" w:after="40"/>
        <w:ind w:left="283"/>
      </w:pPr>
      <w:r>
        <w:rPr>
          <w:rFonts w:ascii="Calibri" w:hAnsi="Calibri"/>
          <w:b/>
          <w:color w:val="4A6B25"/>
          <w:sz w:val="20"/>
        </w:rPr>
        <w:t xml:space="preserve">2. </w:t>
      </w:r>
      <w:r>
        <w:rPr>
          <w:rFonts w:ascii="Calibri" w:hAnsi="Calibri"/>
          <w:b w:val="0"/>
          <w:color w:val="3A4A28"/>
          <w:sz w:val="20"/>
        </w:rPr>
        <w:t>Declining admissions (-0.5% same-store Q1 2026) and 17.8% adjusted EBITDA decline signal potential structural volume headwinds in community hospital markets [1]</w:t>
      </w:r>
    </w:p>
    <w:p>
      <w:pPr>
        <w:spacing w:before="40" w:after="40"/>
        <w:ind w:left="283"/>
      </w:pPr>
      <w:r>
        <w:rPr>
          <w:rFonts w:ascii="Calibri" w:hAnsi="Calibri"/>
          <w:b/>
          <w:color w:val="4A6B25"/>
          <w:sz w:val="20"/>
        </w:rPr>
        <w:t xml:space="preserve">3. </w:t>
      </w:r>
      <w:r>
        <w:rPr>
          <w:rFonts w:ascii="Calibri" w:hAnsi="Calibri"/>
          <w:b w:val="0"/>
          <w:color w:val="3A4A28"/>
          <w:sz w:val="20"/>
        </w:rPr>
        <w:t>Legal liabilities including DOJ investigation, $1B racial equity lawsuit (Fresno), and history of False Claims Act settlements ($98M) create material contingent liability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Hospital operations are structurally immune to AI disruption — acute care, emergency medicine, surgery, obstetrics, and critical care require physical facilities, licensed clinicians, and hands-on patient interaction that AI cannot substitute [2]. CHS's core business of operating community hospitals in underserved markets faces zero substitution risk from AI. Regulatory requirements (CMS, state licensing, JCAHO accreditation) create additional barriers. AI may modestly improve operational efficiency (clinical decision support, scheduling optimization, revenue cycle management) but these are incremental enhancers, not disruptors. AI Opportunity (0/1): No evidence of meaningful AI-generated revenue. CHS has not deployed AI products or reported AI-driven cost savings; the company's technology strategy focuses on basic EHR and operational systems rather than AI innovation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Community Health Systems Q1 2026 Earnings Release — $2.965B revenue, adjusted EBITDA $309M, same-store revenue +3.1% YoY, April 2026</w:t>
      </w:r>
    </w:p>
    <w:p>
      <w:pPr>
        <w:spacing w:before="20" w:after="20"/>
        <w:ind w:left="170"/>
      </w:pPr>
      <w:r>
        <w:rPr>
          <w:rFonts w:ascii="Calibri" w:hAnsi="Calibri"/>
          <w:b/>
          <w:color w:val="4A6B25"/>
          <w:sz w:val="15"/>
        </w:rPr>
        <w:t xml:space="preserve">2. </w:t>
      </w:r>
      <w:r>
        <w:rPr>
          <w:rFonts w:ascii="Calibri" w:hAnsi="Calibri"/>
          <w:b w:val="0"/>
          <w:color w:val="3A4A28"/>
          <w:sz w:val="17"/>
        </w:rPr>
        <w:t>Community Health Systems Q4 2025 Earnings — debt reduction progress, FY2026 guidance, February 2026</w:t>
      </w:r>
    </w:p>
    <w:p>
      <w:pPr>
        <w:spacing w:before="20" w:after="20"/>
        <w:ind w:left="170"/>
      </w:pPr>
      <w:r>
        <w:rPr>
          <w:rFonts w:ascii="Calibri" w:hAnsi="Calibri"/>
          <w:b/>
          <w:color w:val="4A6B25"/>
          <w:sz w:val="15"/>
        </w:rPr>
        <w:t xml:space="preserve">3. </w:t>
      </w:r>
      <w:r>
        <w:rPr>
          <w:rFonts w:ascii="Calibri" w:hAnsi="Calibri"/>
          <w:b w:val="0"/>
          <w:color w:val="3A4A28"/>
          <w:sz w:val="17"/>
        </w:rPr>
        <w:t>Glassdoor Reviews — Community Health Systems employee ratings and culture feedback,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DOJ/HHS OIG — Community Health Systems $98.15M False Claims Act settlement; Fresno $1B resource allocation lawsuit,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SEC Form 4 Filings — CEO Kevin Hammons and CFO Jason Johnson stock award grants, February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CYH (Community Health Systems), retrieved April 24,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