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CYTK</w:t>
      </w:r>
      <w:r>
        <w:rPr>
          <w:rFonts w:ascii="Calibri" w:hAnsi="Calibri"/>
          <w:b/>
          <w:color w:val="1A2010"/>
          <w:sz w:val="40"/>
        </w:rPr>
        <w:t xml:space="preserve">  Cytokinetics, Incorporated</w:t>
      </w:r>
    </w:p>
    <w:p>
      <w:pPr>
        <w:spacing w:after="120"/>
      </w:pPr>
      <w:r>
        <w:rPr>
          <w:rFonts w:ascii="Calibri" w:hAnsi="Calibri"/>
          <w:b/>
          <w:color w:val="6E8450"/>
          <w:sz w:val="18"/>
        </w:rPr>
        <w:t>GROWTH SLEEVE · 2026-04-19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Cytokinetics is a biopharmaceutical company focused on muscle biology, developing novel small molecule therapeutics for cardiovascular diseases. Its first approved product MYQORZO (aficamten) treats symptomatic obstructive hypertrophic cardiomyopathy (oHCM), and omecamtiv mecarbil is in Phase 3 for heart failure with reduced ejection fraction.</w:t>
      </w:r>
    </w:p>
    <w:p>
      <w:r>
        <w:rPr>
          <w:rFonts w:ascii="Calibri" w:hAnsi="Calibri"/>
          <w:b/>
          <w:color w:val="6E8450"/>
          <w:sz w:val="18"/>
        </w:rPr>
        <w:t>https://cytokinetics.com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Cytokinetics achieved a transformative milestone in Q4 2025 with FDA approval of MYQORZO (aficamten) for oHCM, followed within one week by approvals in China and a positive CHMP opinion in the EU [1]. This transitions the company from a clinical-stage to commercial-stage biotech after 27 years of R&amp;D — a rare successful pivot. AI Deployment (0/2): No AI-powered products or quantified AI-driven efficiencies reported; Cytokinetics is a traditional drug development company [2]. Market Share (2/2): MYQORZO enters the oHCM market as only the second disease-modifying therapy approved (after Bristol-Myers Squibb's mavacamten), targeting an estimated 200,000+ U.S. patients with obstructive HCM [1]. Pipeline (2/2): Specific near-term catalysts include ACACIA-HCM top-line results in Q2 2026, MYQORZO Germany launch in Q2 2026, and potential FDA decision on the MAPLE-HCM supplemental NDA by Q4 2026. Omecamtiv mecarbil COMET-HF Phase 3 enrollment continues through 2026 [1]. R&amp;D Intensity (1/1): R&amp;D spending dominates the P&amp;L at $830-870M guided 2026 GAAP R&amp;D+SG&amp;A, reflecting top-quartile investment relative to the company's $88M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Cytokinetics' mission — pioneering muscle biology to develop life-changing medicines for patients with serious cardiovascular diseases — is specific, distinctive, and has been validated by 27 years of focused execution in a single therapeutic area, culminating in MYQORZO's approval [2]. The company's singular focus on muscle biology differentiates it from diversified pharma. Community Impact (1/2): Named San Francisco Business Times Best Place to Work and Great Place to Work-Certified; Fortune's Best Workplaces in the Bay Area and BioPharma [2]. However, specific charitable programs or community investment dollar amounts were not identified. Employee Retention (2/2): CEO Robert Blum has led Cytokinetics since 2007 (19-year tenure) and joined in 1998 — 28 years at the company. The Great Place to Work certification and Fortune Best Workplaces recognition indicate above-average retention and employee satisfaction for biotech [2]. Insider Buying (1/2): Mixed signals — CEO Blum sold 7,500 shares ($490K) in April 2026 and other officers also sold, but these appear to be routine diversification sales rather than loss of conviction. No significant insider buying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Cytokinetics is in the early innings of commercial transition with limited financial metrics available for mechanical scoring. Revenue grew to $88M in 2025 from $18.5M in 2024, primarily from milestone and collaboration payments rather than product sales, as MYQORZO only launched in late December 2025 [1]. The company has negative book equity and $1.44B in total debt against $882M cash ($1.22B reported including restricted), reflecting typical biotech capital structure funded by convertible notes [1]. Net loss widened to -$785M in 2025 from -$590M in 2024 as commercial launch expenses ramped. Forward P/E is negative (unprofitable), profit margin is deeply negative, and ROE/D/E cannot be calculated with negative equity. The only metric scoring positively is revenue growth YoY (~376%). Infrastructure is scored on available metrics only: revenue growth scores 1.0 while profit margin scores 0.0, yielding a 5/10 [4]. Liquidity floor is cleared at $124M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Cytokinetics exemplifies infinite-game patience — spending 27 years pursuing muscle biology before achieving its first FDA approval. CEO Robert Blum's 28-year tenure at the company demonstrates extraordinary commitment to the Just Cause. The company played the long game when virtually every short-term incentive would have pushed toward a sale or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Cytokinetics has pursued a single Just Cause for 27 years: pioneering muscle biology to develop life-changing cardiovascular medicines. This purpose survived nearly three decades without a commercial product, multiple financing rounds, and industry skepticism — a remarkable test of resolve [1][2]. The cause is genuine, specific, and has now been validated by MYQORZO's approval. However, the cause is ultimately tied to a specific therapeutic area rather than a transformative vision of a better future. Scores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Blum's 28-year tenure and the company's Great Place to Work certification suggest an organization with adequate trust and stability [2]. The recent hiring of a Chief People and Culture Officer and Chief Commercial Officer demonstrates deliberate team-building for the commercial transition. However, the company faces the cultural challenge of transitioning from a research-focused to a commercial organization, which creates natural organizational stress.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Cytokinetics explicitly acknowledges Bristol-Myers Squibb's mavacamten as the first-to-market oHCM therapy and has positioned MYQORZO's differentiated safety and efficacy profile as a response to competitive learnings rather than as a 'mavacamten killer' [1]. The ACACIA-HCM trial and MAPLE-HCM supplemental NDA represent clinical programs designed to demonstrate specific advantages learned from the competitive landscape.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Cytokinetics has evolved from a pure research company to a commercial-stage biopharmaceutical company with MYQORZO's approval — a significant organizational transformation [1]. The expansion from a single therapeutic candidate to a multi-product pipeline (aficamten + omecamtiv mecarbil) with global commercial operations represents meaningful strategic evolution. However, the company has remained within muscle biology throughout its existence rather than making a truly transformative pivot.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Spending 27 years pursuing muscle biology therapeutics without a commercial product requires extraordinary patience and courage from leadership, particularly through periods when the company could have been acquired or pivoted to faster-revenue opportunities [2]. CEO Blum chose to build the company independently rather than accept acquisition offers. However, the securities litigation over the REMS omission suggests a governance lapse in transparency that Sinek would view as a failure of courage — choosing to withhold material information rather than being forthright with investors [3].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Cytokinetics has completed one of biotech's longest development journeys with MYQORZO's FDA approval in December 2025 for obstructive HCM, a market with ~200,000 U.S. patients and limited treatment options [1]. The 2026 catalyst slate is exceptional: ACACIA-HCM top-line results (Q2), German commercial launch (Q2), and potential MAPLE-HCM sNDA decision (Q4) could each independently move the stock. Omecamtiv mecarbil in the COMET-HF Phase 3 trial addresses the massive heart failure market (6M+ U.S. patients), offering a second blockbuster opportunity. The company holds $1.22B in cash to fund commercial buildout and pipeline advancement, and CEO Blum's 28-year tenure provides rare strategic continuity for a biotech of this stage [1][2].</w:t>
      </w:r>
    </w:p>
    <w:p>
      <w:pPr>
        <w:spacing w:after="120"/>
      </w:pPr>
      <w:r>
        <w:rPr>
          <w:rFonts w:ascii="Calibri" w:hAnsi="Calibri"/>
          <w:b w:val="0"/>
          <w:color w:val="3A4A28"/>
          <w:sz w:val="20"/>
        </w:rPr>
        <w:t>The bear case is substantial for a company with an $8.2B market cap and only $88M in 2025 revenue (mostly milestones, not product sales). MYQORZO must rapidly gain prescription volume against Bristol-Myers Squibb's entrenched mavacamten franchise, which has a meaningful head start. Guided 2026 expenses of $830-870M against nascent commercial revenue imply continued heavy cash burn, with the $1.22B cash position providing roughly 18 months of runway at current burn rates [1]. Total debt of $1.44B (convertible notes) against negative book equity creates significant financial risk if MYQORZO's launch disappoints. The securities litigation over the REMS disclosure failure raises governance concerns and could distract management during the critical launch period [3]. Negative forward P/E and deeply negative profit margins mean the investment case is entirely dependent on clinical and commercial execution — there is no financial safety 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ACACIA-HCM top-line results expected Q2 2026 — positive data could expand MYQORZO's addressable market and support premium pricing against mavacamten [1]</w:t>
      </w:r>
    </w:p>
    <w:p>
      <w:pPr>
        <w:spacing w:before="40" w:after="40"/>
        <w:ind w:left="283"/>
      </w:pPr>
      <w:r>
        <w:rPr>
          <w:rFonts w:ascii="Calibri" w:hAnsi="Calibri"/>
          <w:b/>
          <w:color w:val="4A6B25"/>
          <w:sz w:val="20"/>
        </w:rPr>
        <w:t xml:space="preserve">2. </w:t>
      </w:r>
      <w:r>
        <w:rPr>
          <w:rFonts w:ascii="Calibri" w:hAnsi="Calibri"/>
          <w:b w:val="0"/>
          <w:color w:val="3A4A28"/>
          <w:sz w:val="20"/>
        </w:rPr>
        <w:t>MYQORZO commercial launch ramp in U.S. and Germany through 2026, with early prescription data expected to validate (or invalidate) the blockbuster thesis [1]</w:t>
      </w:r>
    </w:p>
    <w:p>
      <w:pPr>
        <w:spacing w:before="40" w:after="40"/>
        <w:ind w:left="283"/>
      </w:pPr>
      <w:r>
        <w:rPr>
          <w:rFonts w:ascii="Calibri" w:hAnsi="Calibri"/>
          <w:b/>
          <w:color w:val="4A6B25"/>
          <w:sz w:val="20"/>
        </w:rPr>
        <w:t xml:space="preserve">3. </w:t>
      </w:r>
      <w:r>
        <w:rPr>
          <w:rFonts w:ascii="Calibri" w:hAnsi="Calibri"/>
          <w:b w:val="0"/>
          <w:color w:val="3A4A28"/>
          <w:sz w:val="20"/>
        </w:rPr>
        <w:t>MAPLE-HCM supplemental NDA potential FDA decision by Q4 2026, which could expand MYQORZO's label and differentiate from competition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MYQORZO launch execution risk — competing against BMS's established mavacamten with a nascent commercial infrastructure and limited physician awareness, in a market where switching costs are high [1]</w:t>
      </w:r>
    </w:p>
    <w:p>
      <w:pPr>
        <w:spacing w:before="40" w:after="40"/>
        <w:ind w:left="283"/>
      </w:pPr>
      <w:r>
        <w:rPr>
          <w:rFonts w:ascii="Calibri" w:hAnsi="Calibri"/>
          <w:b/>
          <w:color w:val="4A6B25"/>
          <w:sz w:val="20"/>
        </w:rPr>
        <w:t xml:space="preserve">2. </w:t>
      </w:r>
      <w:r>
        <w:rPr>
          <w:rFonts w:ascii="Calibri" w:hAnsi="Calibri"/>
          <w:b w:val="0"/>
          <w:color w:val="3A4A28"/>
          <w:sz w:val="20"/>
        </w:rPr>
        <w:t>Cash burn sustainability — $830-870M in 2026 expenses against nascent product revenue requires the $1.22B cash position to bridge to profitability, with limited margin for error on launch trajectory [1]</w:t>
      </w:r>
    </w:p>
    <w:p>
      <w:pPr>
        <w:spacing w:before="40" w:after="40"/>
        <w:ind w:left="283"/>
      </w:pPr>
      <w:r>
        <w:rPr>
          <w:rFonts w:ascii="Calibri" w:hAnsi="Calibri"/>
          <w:b/>
          <w:color w:val="4A6B25"/>
          <w:sz w:val="20"/>
        </w:rPr>
        <w:t xml:space="preserve">3. </w:t>
      </w:r>
      <w:r>
        <w:rPr>
          <w:rFonts w:ascii="Calibri" w:hAnsi="Calibri"/>
          <w:b w:val="0"/>
          <w:color w:val="3A4A28"/>
          <w:sz w:val="20"/>
        </w:rPr>
        <w:t>Securities litigation and governance overhang — the REMS omission lawsuit creates legal costs, management distraction, and investor trust concerns during the most critical commercial period in company history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Biopharmaceutical drug development and commercialization involves complex clinical trials, FDA regulatory processes, manufacturing of small molecule therapeutics, and physician-patient treatment relationships that AI cannot substitute [2]. MYQORZO treats a physical cardiac condition requiring prescription by cardiologists — this cannot be displaced by AI. However, AI is increasingly being used by larger pharma companies to accelerate drug discovery, which could intensify competitive pressure on Cytokinetics' pipeline development timelines. The company's moat is its deep expertise in muscle biology and proprietary clinical data, which AI enhances rather than threatens. AI Opportunity (0/1): Cytokinetics does not generate any revenue from AI products or services and has not disclosed AI-driven drug discovery programs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Cytokinetics Q4 2025 Earnings Release — $88M full-year revenue, MYQORZO approval, 2026 guidance $830-870M R&amp;D+SG&amp;A, February 24, 2026</w:t>
      </w:r>
    </w:p>
    <w:p>
      <w:pPr>
        <w:spacing w:before="20" w:after="20"/>
        <w:ind w:left="170"/>
      </w:pPr>
      <w:r>
        <w:rPr>
          <w:rFonts w:ascii="Calibri" w:hAnsi="Calibri"/>
          <w:b/>
          <w:color w:val="4A6B25"/>
          <w:sz w:val="15"/>
        </w:rPr>
        <w:t xml:space="preserve">2. </w:t>
      </w:r>
      <w:r>
        <w:rPr>
          <w:rFonts w:ascii="Calibri" w:hAnsi="Calibri"/>
          <w:b w:val="0"/>
          <w:color w:val="3A4A28"/>
          <w:sz w:val="17"/>
        </w:rPr>
        <w:t>Cytokinetics Corporate Website — Senior management bios, company mission, Great Place to Work certification, 2026</w:t>
      </w:r>
    </w:p>
    <w:p>
      <w:pPr>
        <w:spacing w:before="20" w:after="20"/>
        <w:ind w:left="170"/>
      </w:pPr>
      <w:r>
        <w:rPr>
          <w:rFonts w:ascii="Calibri" w:hAnsi="Calibri"/>
          <w:b/>
          <w:color w:val="4A6B25"/>
          <w:sz w:val="15"/>
        </w:rPr>
        <w:t xml:space="preserve">3. </w:t>
      </w:r>
      <w:r>
        <w:rPr>
          <w:rFonts w:ascii="Calibri" w:hAnsi="Calibri"/>
          <w:b w:val="0"/>
          <w:color w:val="3A4A28"/>
          <w:sz w:val="17"/>
        </w:rPr>
        <w:t>AInvest — Securities litigation analysis: Cytokinetics REMS omission controversy, governance due diligence,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CYTK (Cytokinetics),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