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CZR</w:t>
      </w:r>
      <w:r>
        <w:rPr>
          <w:rFonts w:ascii="Calibri" w:hAnsi="Calibri"/>
          <w:b/>
          <w:color w:val="1A2010"/>
          <w:sz w:val="40"/>
        </w:rPr>
        <w:t xml:space="preserve">  Caesars Entertainment, Inc.</w:t>
      </w:r>
    </w:p>
    <w:p>
      <w:pPr>
        <w:spacing w:after="120"/>
      </w:pPr>
      <w:r>
        <w:rPr>
          <w:rFonts w:ascii="Calibri" w:hAnsi="Calibri"/>
          <w:b/>
          <w:color w:val="6E8450"/>
          <w:sz w:val="18"/>
        </w:rPr>
        <w:t>GROWTH SLEEVE · 2026-03-30 · Inspire: -77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United States</w:t>
      </w:r>
    </w:p>
    <w:p>
      <w:pPr>
        <w:spacing w:after="80"/>
      </w:pPr>
      <w:r>
        <w:rPr>
          <w:rFonts w:ascii="Calibri" w:hAnsi="Calibri"/>
          <w:b w:val="0"/>
          <w:color w:val="3A4A28"/>
          <w:sz w:val="20"/>
        </w:rPr>
        <w:t>Caesars Entertainment is the largest casino entertainment company in the United States, operating properties in 18 states with approximately 50,000 employees. The company operates casinos, hotels, dining, entertainment venues, and the Caesars Sportsbook digital platform across 24 states and Washington D.C. Founded in 1937 and headquartered in Reno, Nevada.</w:t>
      </w:r>
    </w:p>
    <w:p>
      <w:r>
        <w:rPr>
          <w:rFonts w:ascii="Calibri" w:hAnsi="Calibri"/>
          <w:b/>
          <w:color w:val="6E8450"/>
          <w:sz w:val="18"/>
        </w:rPr>
        <w:t>50,000 Employees · https://www.caesars.com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Caesars executed a transformative digital pivot, building Caesars Sportsbook into a presence across 24 states and D.C., with the Digital segment's adjusted EBITDA surging from $117M in 2024 to $236M in 2025 [1]. The company was the first in the gaming industry to migrate all 50+ casinos to Oracle cloud ERP in 10 months [2]. AI Deployment (1/2): Caesars leverages big data, AI, and ML for customer behavior analysis through econometric models, creating customized loyalty rewards — a genuine AI-powered product that drives customer retention and revenue [2]. However, no specific dollar amounts for AI-driven savings or revenue were disclosed. Market Share (1/2): Caesars is the largest U.S. casino company by property count but competes intensely with MGM Resorts, DraftKings, and FanDuel in the digital sports betting market where it is not the leader [1]. Pipeline (1/2): CEO Reeg guided for another year of strong digital revenue and EBITDA growth in 2026, with plans to use FCF for debt reduction and opportunistic buybacks [1]. The Missouri sportsbook launch (December 2025) and new Summerlin retail location show continued geographic expansion. R&amp;D Intensity (0/1): No evidence of above-industry R&amp;D investment; innovation is primarily in digital platform development rather than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Caesars' purpose centers on delivering exceptional entertainment and hospitality experiences. The 'PEOPLE PLANET PLAY' CSR framework shows genuine organizational intentionality [3]. The responsible gaming program — the first in the U.S. gaming industry, established in 1989 — demonstrates commitment beyond profit [3]. However, the mission is industry-standard rather than transformative. Community Impact (2/2): The Caesars Foundation donated $3.4M to nonprofits, and the company provided $72M in community investment in 2024, including 93,000 Hero volunteer hours [3]. CDP A-List recognition for both Climate Change and Water Security (one of only 277/106 companies respectively) shows genuine environmental leadership. Employee Retention (0/2): 50,000 employees across 18 states, but no specific retention or tenure data available. The hospitality industry typically faces high turnover and no evidence of above-average retention was found. Insider Buying (0/2): The company repurchased $420M in stock (14.7M shares since mid-2024), but this is corporate buyback activity, not insider purchasing with personal funds [1]. No evidence of meaningful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 passes the liquidity floor (6.2M avg volume × $25.37 = $158.2M daily liquidity) [5]. The balance sheet is severely leveraged: D/E of 695.1% ($25.6B total debt against just $887M cash) scores 0 against the 300% floor [5]. ROE is negative at -10.8% (score 0) and profit margin is -4.4% (score 0), reflecting $502M net loss in 2025 driven by massive interest expense on the debt load [1][5]. Revenue growth of 4.2% YoY is modest (score 0.81), and the 5yr revenue CAGR of ~2% reflects post-pandemic normalization (score 0.47) [5]. Forward P/E of 24.7x scores moderately (0.88) as analysts project path to positive earnings [5]. The critical question is whether Digital EBITDA growth ($236M in 2025, up from $117M) and debt paydown can compress the leverage ratio enough to restore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Caesars demonstrates a mix of infinite and finite game characteristics. The company's 89-year history (founded 1937), pioneering responsible gaming program (since 1989), and PEOPLE PLANET PLAY framework suggest genuine long-term orientation. However, the massive $25.6B debt load from the Eldorado acquisition, the post-bankruptcy restructuring, and the intense focus on debt reduction and quarterly EBITDA targets reflect finite game pressures that constrain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 implicit cause — creating exceptional entertainment experiences while leading in responsible gaming — has genuine depth given the 1989 pioneering RG program and decades of hospitality tradition [3]. The PEOPLE PLANET PLAY framework shows organizational commitment to stakeholders beyond shareholders. However, the cause is not transformative — it's a well-executed version of industry-standard hospitality, and the company's primary strategic focus (debt reduction, buybacks) signals finite game priorities over cause-driven investment.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50,000 employees across 18 states represent a massive workforce. The change management strategy during the Oracle cloud migration — building buy-in through clear vision communication and training — shows organizational investment in employee adaptation [2]. The RG Ambassador program empowers frontline team members with important responsibilities [3]. However, the hospitality industry faces structural turnover challenges, and no specific evidence of above-average employee trust metrics was found.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 competes against MGM Resorts (Las Vegas), DraftKings and FanDuel (digital), and regional casino operators. The digital transformation and Sportsbook expansion suggest Caesars recognized DraftKings and FanDuel as worthy rivals whose digital-first approach revealed weaknesses in Caesars' own capabilities [2]. However, the competitive language from CEO Reeg focuses more on market share and EBITDA targets than on learning from rivals' strengths — a more finite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 has shown significant flexibility over its history — surviving bankruptcy (emerged 2017), the Eldorado merger transformation, and the aggressive pivot to digital sports betting and iGaming [1][2]. The willingness to become a 'digital first' company — a dramatic shift for a brick-and-mortar casino operator — demonstrates existential flexibility. However, the $25.6B debt load severely constrains future strategic flexibility, limiting the company's ability to make bold pivots if the current strategy underperforms.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Tom Reeg has maintained focus on debt reduction and digital growth despite the stock's decline from post-pandemic highs, showing conviction in the long-term strategy [1]. The $420M buyback at depressed prices signals belief in intrinsic value. The decision to invest heavily in Caesars Sportsbook during a period of intense competition — accepting near-term losses for long-term market position — required conviction. However, the massive debt burden was partly a choice (Eldorado's leveraged acquisition of Caesars), and the ongoing net losses ($502M in 2025) raise questions about the pace of progress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Caesars Entertainment is the largest U.S. casino operator executing a digital transformation that is gaining traction — Caesars Digital adjusted EBITDA surged 102% to $236M in 2025 from $117M in 2024, with the Sportsbook now live in 24 states [1]. Q4 2025 net revenues grew to $2.9B with same-store EBITDA of $901M, and CEO Reeg guided for continued digital growth in 2026 alongside lower capex and interest expense, targeting strong free cash flow for debt paydown [1]. At forward P/E of 24.7x and an enterprise value reflecting the massive debt, the stock prices in significant execution risk but offers leveraged upside if digital profitability scales. The $420M buyback program (14.7M shares at depressed prices) is accretive. Regional casino revenue rose 4% in Q4, demonstrating stable core operations. The combination of 50+ physical properties, 65M+ Caesars Rewards members, and an expanding digital platform creates a multi-channel ecosystem with cross-selling potential that pure-play digital competitors cannot match [1][2].</w:t>
      </w:r>
    </w:p>
    <w:p>
      <w:pPr>
        <w:spacing w:after="120"/>
      </w:pPr>
      <w:r>
        <w:rPr>
          <w:rFonts w:ascii="Calibri" w:hAnsi="Calibri"/>
          <w:b w:val="0"/>
          <w:color w:val="3A4A28"/>
          <w:sz w:val="20"/>
        </w:rPr>
        <w:t>The bear case is dominated by the crushing $25.6B debt load — among the highest in the gaming industry — which generated a $502M net loss in 2025 despite $11.5B in revenue [1][5]. Same-store adjusted EBITDA actually declined from $3.7B to $3.6B year-over-year, suggesting the brick-and-mortar business is stagnating while interest costs consume operating income. Las Vegas segment revenue fell 3.4% in Q4, a concerning signal for the company's highest-margin market [1]. The digital segment, while growing rapidly, is competing against DraftKings and FanDuel which have deeper technology stacks and larger digital market share. The D/E ratio of 695% and negative ROE (-10.8%) reflect a balance sheet that leaves virtually no room for strategic error — any recession or sustained downturn in gaming spend could threaten debt covenants [5]. The path from $502M net loss to positive earnings requires both sustained digital growth and significant interest expense reduction through debt paydown, a multi-year process with no margin for operational setbacks.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EBITDA trajectory — growth from $117M to $236M in 2025, with guidance for continued strong growth in 2026, could prove the digital transformation thesis [1]</w:t>
      </w:r>
    </w:p>
    <w:p>
      <w:pPr>
        <w:spacing w:before="40" w:after="40"/>
        <w:ind w:left="283"/>
      </w:pPr>
      <w:r>
        <w:rPr>
          <w:rFonts w:ascii="Calibri" w:hAnsi="Calibri"/>
          <w:b/>
          <w:color w:val="4A6B25"/>
          <w:sz w:val="20"/>
        </w:rPr>
        <w:t xml:space="preserve">2. </w:t>
      </w:r>
      <w:r>
        <w:rPr>
          <w:rFonts w:ascii="Calibri" w:hAnsi="Calibri"/>
          <w:b w:val="0"/>
          <w:color w:val="3A4A28"/>
          <w:sz w:val="20"/>
        </w:rPr>
        <w:t>Debt reduction and interest expense savings — CEO Reeg targeting FCF deployment for debt paydown, which directly improves bottom line as each $1B retired saves ~$60-70M annually [1]</w:t>
      </w:r>
    </w:p>
    <w:p>
      <w:pPr>
        <w:spacing w:before="40" w:after="40"/>
        <w:ind w:left="283"/>
      </w:pPr>
      <w:r>
        <w:rPr>
          <w:rFonts w:ascii="Calibri" w:hAnsi="Calibri"/>
          <w:b/>
          <w:color w:val="4A6B25"/>
          <w:sz w:val="20"/>
        </w:rPr>
        <w:t xml:space="preserve">3. </w:t>
      </w:r>
      <w:r>
        <w:rPr>
          <w:rFonts w:ascii="Calibri" w:hAnsi="Calibri"/>
          <w:b w:val="0"/>
          <w:color w:val="3A4A28"/>
          <w:sz w:val="20"/>
        </w:rPr>
        <w:t>Regional casino stability and new Sportsbook state launches (Missouri December 2025, Summerlin March 2026) expand the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$25.6B total debt at D/E of 695% creates existential risk in a downturn and generated $502M net loss in 2025 despite $11.5B revenue [1][5]</w:t>
      </w:r>
    </w:p>
    <w:p>
      <w:pPr>
        <w:spacing w:before="40" w:after="40"/>
        <w:ind w:left="283"/>
      </w:pPr>
      <w:r>
        <w:rPr>
          <w:rFonts w:ascii="Calibri" w:hAnsi="Calibri"/>
          <w:b/>
          <w:color w:val="4A6B25"/>
          <w:sz w:val="20"/>
        </w:rPr>
        <w:t xml:space="preserve">2. </w:t>
      </w:r>
      <w:r>
        <w:rPr>
          <w:rFonts w:ascii="Calibri" w:hAnsi="Calibri"/>
          <w:b w:val="0"/>
          <w:color w:val="3A4A28"/>
          <w:sz w:val="20"/>
        </w:rPr>
        <w:t>Digital competition — DraftKings and FanDuel hold larger digital market share with deeper technology stacks, and Caesars Sportsbook may struggle to achieve scale economics [1]</w:t>
      </w:r>
    </w:p>
    <w:p>
      <w:pPr>
        <w:spacing w:before="40" w:after="40"/>
        <w:ind w:left="283"/>
      </w:pPr>
      <w:r>
        <w:rPr>
          <w:rFonts w:ascii="Calibri" w:hAnsi="Calibri"/>
          <w:b/>
          <w:color w:val="4A6B25"/>
          <w:sz w:val="20"/>
        </w:rPr>
        <w:t xml:space="preserve">3. </w:t>
      </w:r>
      <w:r>
        <w:rPr>
          <w:rFonts w:ascii="Calibri" w:hAnsi="Calibri"/>
          <w:b w:val="0"/>
          <w:color w:val="3A4A28"/>
          <w:sz w:val="20"/>
        </w:rPr>
        <w:t>Las Vegas softening — Q4 Vegas revenue declined 3.4%, and any sustained weakness in the highest-margin segment would disproportionately impact EBITDA and debt reduction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Caesars' core brick-and-mortar casino business involves physical properties, hotel rooms, dining, and in-person entertainment that AI cannot replace — guests physically visit casinos for the experience [1]. However, the growing digital sports betting segment (Caesars Sportsbook across 24 states) faces AI-related competitive pressure as DraftKings, FanDuel, and tech-forward competitors deploy AI for superior odds-setting, personalization, and customer acquisition [2]. AI-powered gambling tools could shift customer preferences, and regulatory AI tools could increase compliance costs. The physical casino business is protected but the digital growth engine is competitively exposed to AI disruption. AI Opportunity (1/1): Caesars actively generates revenue from AI-enhanced operations — using ML-driven customer behavior analysis and personalized loyalty rewards to optimize casino floor revenue and digital engagement [2]. The digital EBITDA growth from $117M to $236M is partly AI-enabled.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Caesars Entertainment Q4/FY2025 Earnings Release — $11.5B revenue, $502M net loss, Digital EBITDA $236M, February 2026</w:t>
      </w:r>
    </w:p>
    <w:p>
      <w:pPr>
        <w:spacing w:before="20" w:after="20"/>
        <w:ind w:left="170"/>
      </w:pPr>
      <w:r>
        <w:rPr>
          <w:rFonts w:ascii="Calibri" w:hAnsi="Calibri"/>
          <w:b/>
          <w:color w:val="4A6B25"/>
          <w:sz w:val="15"/>
        </w:rPr>
        <w:t xml:space="preserve">2. </w:t>
      </w:r>
      <w:r>
        <w:rPr>
          <w:rFonts w:ascii="Calibri" w:hAnsi="Calibri"/>
          <w:b w:val="0"/>
          <w:color w:val="3A4A28"/>
          <w:sz w:val="17"/>
        </w:rPr>
        <w:t>CIO.com — How Caesars Entertainment became a 'digital first' business; cloud ERP transformation, AI/ML customer analytics</w:t>
      </w:r>
    </w:p>
    <w:p>
      <w:pPr>
        <w:spacing w:before="20" w:after="20"/>
        <w:ind w:left="170"/>
      </w:pPr>
      <w:r>
        <w:rPr>
          <w:rFonts w:ascii="Calibri" w:hAnsi="Calibri"/>
          <w:b/>
          <w:color w:val="4A6B25"/>
          <w:sz w:val="15"/>
        </w:rPr>
        <w:t xml:space="preserve">3. </w:t>
      </w:r>
      <w:r>
        <w:rPr>
          <w:rFonts w:ascii="Calibri" w:hAnsi="Calibri"/>
          <w:b w:val="0"/>
          <w:color w:val="3A4A28"/>
          <w:sz w:val="17"/>
        </w:rPr>
        <w:t>Caesars Entertainment 2024 Corporate Social Responsibility Report — PEOPLE PLANET PLAY framework, $72M community investment, responsible gaming program</w:t>
      </w:r>
    </w:p>
    <w:p>
      <w:pPr>
        <w:spacing w:before="20" w:after="20"/>
        <w:ind w:left="170"/>
      </w:pPr>
      <w:r>
        <w:rPr>
          <w:rFonts w:ascii="Calibri" w:hAnsi="Calibri"/>
          <w:b/>
          <w:color w:val="4A6B25"/>
          <w:sz w:val="15"/>
        </w:rPr>
        <w:t xml:space="preserve">4. </w:t>
      </w:r>
      <w:r>
        <w:rPr>
          <w:rFonts w:ascii="Calibri" w:hAnsi="Calibri"/>
          <w:b w:val="0"/>
          <w:color w:val="3A4A28"/>
          <w:sz w:val="17"/>
        </w:rPr>
        <w:t>CDC Gaming, Motley Fool — Caesars Q4 digital growth, debt transition, sportsbook expansion,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CZR (Caesars Entertainment, Inc.),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