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w:t>
      </w:r>
      <w:r>
        <w:rPr>
          <w:rFonts w:ascii="Calibri" w:hAnsi="Calibri"/>
          <w:b/>
          <w:color w:val="1A2010"/>
          <w:sz w:val="40"/>
        </w:rPr>
        <w:t xml:space="preserve">  Citigroup Inc.</w:t>
      </w:r>
    </w:p>
    <w:p>
      <w:pPr>
        <w:spacing w:after="120"/>
      </w:pPr>
      <w:r>
        <w:rPr>
          <w:rFonts w:ascii="Calibri" w:hAnsi="Calibri"/>
          <w:b/>
          <w:color w:val="6E8450"/>
          <w:sz w:val="18"/>
        </w:rPr>
        <w:t>DIVIDEND SLEEVE · 2026-03-24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Diversified Banks · NYSE · United States</w:t>
      </w:r>
    </w:p>
    <w:p>
      <w:pPr>
        <w:spacing w:after="80"/>
      </w:pPr>
      <w:r>
        <w:rPr>
          <w:rFonts w:ascii="Calibri" w:hAnsi="Calibri"/>
          <w:b w:val="0"/>
          <w:color w:val="3A4A28"/>
          <w:sz w:val="20"/>
        </w:rPr>
        <w:t>Citigroup is a global diversified banking institution with approximately $2.7 trillion in assets, operating across five segments: Services, Markets, Banking, U.S. Personal Banking, and Wealth. The bank serves consumers, corporations, governments, and institutions in over 180 countries. Full-year 2025 revenue reached $85.2B — the strongest growth in over a decade — with adjusted net income of $16.1B and ROE improving to 8.8% as CEO Jane Fraser's multi-year transformation continues.</w:t>
      </w:r>
    </w:p>
    <w:p>
      <w:r>
        <w:rPr>
          <w:rFonts w:ascii="Calibri" w:hAnsi="Calibri"/>
          <w:b/>
          <w:color w:val="6E8450"/>
          <w:sz w:val="18"/>
        </w:rPr>
        <w:t>229,000 Employees · https://www.citigroup.com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Citigroup earns 1/3 on Innovation Track Record: the ongoing multi-year transformation under CEO Jane Fraser — simplifying from a sprawling global institution to a focused five-segment model with divestitures of 14 international consumer franchises — is a meaningful business pivot, though not a new product launch [1]. AI Deployment scores 2/2: Citi has deployed AI across risk management, fraud detection, and trading operations with specific cost efficiency programs underway, and has a dedicated $2B+ technology investment program [2]. Market Share scores 1/2: Citi's Treasury Services and Markets businesses hold leading positions in specific institutional segments; no dominant quantified market share. Pipeline scores 0/2: no specific named product pipeline with launch dates in public materials. R&amp;D scores 1/1: financial services companies investing in AI and technology exceed industry average. Total: 1+2+1+0+1 = 5.</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Citigroup under Jane Fraser has articulated a more purposeful identity centered on enabling global economic connections and supporting underserved communities — a meaningful evolution from pure shareholder value maximization. Mission floor scores 2/4: the purpose is clearer than most banks but still generic. Community impact scores 2/2: Citi's Community Development Finance programs have committed over $1 trillion to economic development initiatives, and the Citi Foundation invests hundreds of millions annually in financial inclusion programs [2]. Employee retention scores 0/2: major bank layoffs during transformation — approximately 40,000 job cuts planned through the restructuring — create trust deficits. Insider buying scores 1/2: CEO Fraser and board have maintained equity positions; the 68% stock appreciation in 2025 reflects institutional confidence [1]. Total: 2+2+0+1 =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Citigroup is a dividend stock. D/E 62%: (300-62)/(300-70)=1.035→1.0; ROE 6.7%: (6.7-0)/(15-0)=0.447; Rev growth YoY ~6% (FY2025): (6-(-20))/(10-(-20))=0.867; Rev 5yr CAGR ~3%: (3-(-5))/(10-(-5))=0.533; Fwd PE 10.78: 1.0; Profit margin 16.8%: 1.0; Payout ratio 33%: 1.0 ×1; Consecutive years paid ~15: 1.0 ×2; Consecutive years growth ~5 (post-cut recovery): (5-0)/(10-0)=0.5 ×1; 5yr div growth CAGR ~6.4%: 1.0 ×2. Weighted sum: D/E(1×1.0)+ROE(1×0.447)+RevYoY(1×0.867)+Rev5yr(1×0.533)+FwdPE(1×1.0)+Margin(1×1.0)+Payout(1×1.0)+ConsecPaid(2×1.0)+ConsecGrowth(1×0.5)+5yrDivCAGR(2×1.0)=1.0+0.447+0.867+0.533+1.0+1.0+1.0+2.0+0.5+2.0=10.347/12=0.862 → score 9. Conservative to 6 due to low ROE (6.7% vs. 15% target), transformation uncertainty, and Russia-related $1.1B after-tax loss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Citigroup under Jane Fraser is in genuine transformation — attempting to simplify a sprawling global institution back to its core strengths. The Just Cause around global economic connectivity is real and has historical validation. However, decades of strategy changes, compliance failures (multiple consent orders), and quarterly earnings pressure create a mixed infinite-game signal.</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Citi's purpose — enabling global economic connections and serving underserved communities — has evolved under Fraser's leadership toward genuine intentionality, with specific programs in financial inclusion and community development [2]. Scores 1/3: a genuine cause partially lived, but Citi's history of compliance failures and shareholder value maximization rhetoric undercuts multi-decade consistency.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Citigroup's ongoing transformation involves planned 40,000 job reductions, multiple management reorganizations, and elimination of entire business lines [1]. Even if strategically necessary, this creates significant organizational distrust. The multiple regulatory consent orders for compliance failures suggest systemic organizational dysfunction. Scores 0/2.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Jane Fraser has explicitly cited JPMorgan and Goldman Sachs as competitive benchmarks to improve against, and has used their operational efficiency metrics to set targets for Citi's transformation [1]. Evidence of learning from rivals rather than competitive destruction. Scores 1/1.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Citi's divestiture of 14 international consumer franchises and pivot to five institutional-focused segments represents meaningful existential flexibility — abandoning a 'universal bank everywhere' model for a focused institutional approach [1]. Scores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Fraser's willingness to take the short-term earnings drag of restructuring charges and divest revenue-generating franchises in service of long-term simplification demonstrates courage [1]. One clear pattern of costly long-term decisions. Scores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Citigroup's 2025 performance — record adjusted revenue of $86.6B, 10% ROTCE improvement trajectory toward the 10-11% 2026 target, and $13.3B in share buybacks reducing float by 3.45% — demonstrates the transformation is gaining traction [1]. At a forward P/E of 10.78× and P/B below tangible book value of $97, the stock offers significant upside if Fraser can achieve the 10-11% ROTCE target. The 2.2% dividend yield provides income while waiting for the transformation to complete, and the PEG ratio of 0.48 suggests significant undervaluation relative to earnings growth.</w:t>
      </w:r>
    </w:p>
    <w:p>
      <w:pPr>
        <w:spacing w:after="120"/>
      </w:pPr>
      <w:r>
        <w:rPr>
          <w:rFonts w:ascii="Calibri" w:hAnsi="Calibri"/>
          <w:b w:val="0"/>
          <w:color w:val="3A4A28"/>
          <w:sz w:val="20"/>
        </w:rPr>
        <w:t>The transformation remains multi-year with significant execution risk: ROE of 6.7% is still less than half of JPMorgan's, and the $1.1B Russia-related loss in Q4 2025 highlights ongoing legacy liabilities [1]. Regulatory consent orders, technology infrastructure modernization costs, and the complexity of managing a 229,000-person global institution create constant drag on the profitability improvement story. The MISALIGNED Inspire score reflects fundamental values concerns for faith-based investors. Quarterly earnings volatility and stock beta of 1.13 suggest significant price swings around each data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ROTCE reaching 10%+ in FY2026 — the key transformation milestone that would signal valuation re-rating toward peer multiples</w:t>
      </w:r>
    </w:p>
    <w:p>
      <w:pPr>
        <w:spacing w:before="40" w:after="40"/>
        <w:ind w:left="283"/>
      </w:pPr>
      <w:r>
        <w:rPr>
          <w:rFonts w:ascii="Calibri" w:hAnsi="Calibri"/>
          <w:b/>
          <w:color w:val="4A6B25"/>
          <w:sz w:val="20"/>
        </w:rPr>
        <w:t xml:space="preserve">2. </w:t>
      </w:r>
      <w:r>
        <w:rPr>
          <w:rFonts w:ascii="Calibri" w:hAnsi="Calibri"/>
          <w:b w:val="0"/>
          <w:color w:val="3A4A28"/>
          <w:sz w:val="20"/>
        </w:rPr>
        <w:t>Final OxyChem-style divestiture completions eliminating legacy complexity and releasing capital for buybacks and dividends</w:t>
      </w:r>
    </w:p>
    <w:p>
      <w:pPr>
        <w:spacing w:before="40" w:after="40"/>
        <w:ind w:left="283"/>
      </w:pPr>
      <w:r>
        <w:rPr>
          <w:rFonts w:ascii="Calibri" w:hAnsi="Calibri"/>
          <w:b/>
          <w:color w:val="4A6B25"/>
          <w:sz w:val="20"/>
        </w:rPr>
        <w:t xml:space="preserve">3. </w:t>
      </w:r>
      <w:r>
        <w:rPr>
          <w:rFonts w:ascii="Calibri" w:hAnsi="Calibri"/>
          <w:b w:val="0"/>
          <w:color w:val="3A4A28"/>
          <w:sz w:val="20"/>
        </w:rPr>
        <w:t>Net Interest Income growing 5-6% in 2026 as guided — driven by portfolio repricing and deposit cost improvements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Transformation execution: achieving 10-11% ROTCE requires sustained margin improvement across five business segments; any macro shock could delay the timeline by multiple quarters</w:t>
      </w:r>
    </w:p>
    <w:p>
      <w:pPr>
        <w:spacing w:before="40" w:after="40"/>
        <w:ind w:left="283"/>
      </w:pPr>
      <w:r>
        <w:rPr>
          <w:rFonts w:ascii="Calibri" w:hAnsi="Calibri"/>
          <w:b/>
          <w:color w:val="4A6B25"/>
          <w:sz w:val="20"/>
        </w:rPr>
        <w:t xml:space="preserve">2. </w:t>
      </w:r>
      <w:r>
        <w:rPr>
          <w:rFonts w:ascii="Calibri" w:hAnsi="Calibri"/>
          <w:b w:val="0"/>
          <w:color w:val="3A4A28"/>
          <w:sz w:val="20"/>
        </w:rPr>
        <w:t>Regulatory risk: Citi remains under multiple consent orders; a major compliance failure could result in new restrictions that limit business activity</w:t>
      </w:r>
    </w:p>
    <w:p>
      <w:pPr>
        <w:spacing w:before="40" w:after="40"/>
        <w:ind w:left="283"/>
      </w:pPr>
      <w:r>
        <w:rPr>
          <w:rFonts w:ascii="Calibri" w:hAnsi="Calibri"/>
          <w:b/>
          <w:color w:val="4A6B25"/>
          <w:sz w:val="20"/>
        </w:rPr>
        <w:t xml:space="preserve">3. </w:t>
      </w:r>
      <w:r>
        <w:rPr>
          <w:rFonts w:ascii="Calibri" w:hAnsi="Calibri"/>
          <w:b w:val="0"/>
          <w:color w:val="3A4A28"/>
          <w:sz w:val="20"/>
        </w:rPr>
        <w:t>MISALIGNED faith score: the -67 Inspire Impact score reflects material concerns around abortion activism and LGBT activism that may conflict with IOWN values-based investment criteria</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Citigroup's core banking operations — credit underwriting, risk management, institutional banking, and treasury services — have meaningful natural moats against AI substitution due to regulatory requirements, customer relationships, and proprietary data [1]. However, AI poses real disruption risk to specific business lines: AI-powered fintech is displacing traditional retail banking, and AI trading algorithms are compressing institutional trading margins. Citi's $2B+ annual technology investment includes defensive AI deployment to protect these franchises [2]. Earns 6/9 on AI Risk Protection: core is defensible but significant peripheral exposure exists. AI Opportunity scores 0/1: no specific AI revenue quantified. Total: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Citigroup Q4 2025 Earnings Results, CNBC, January 14, 2026</w:t>
      </w:r>
    </w:p>
    <w:p>
      <w:pPr>
        <w:spacing w:before="20" w:after="20"/>
        <w:ind w:left="170"/>
      </w:pPr>
      <w:r>
        <w:rPr>
          <w:rFonts w:ascii="Calibri" w:hAnsi="Calibri"/>
          <w:b/>
          <w:color w:val="4A6B25"/>
          <w:sz w:val="15"/>
        </w:rPr>
        <w:t xml:space="preserve">2. </w:t>
      </w:r>
      <w:r>
        <w:rPr>
          <w:rFonts w:ascii="Calibri" w:hAnsi="Calibri"/>
          <w:b w:val="0"/>
          <w:color w:val="3A4A28"/>
          <w:sz w:val="17"/>
        </w:rPr>
        <w:t>Citigroup Fourth Quarter and Full Year 2025 Results and Key Metrics, citigroup.com, 2026</w:t>
      </w:r>
    </w:p>
    <w:p>
      <w:pPr>
        <w:spacing w:before="20" w:after="20"/>
        <w:ind w:left="170"/>
      </w:pPr>
      <w:r>
        <w:rPr>
          <w:rFonts w:ascii="Calibri" w:hAnsi="Calibri"/>
          <w:b/>
          <w:color w:val="4A6B25"/>
          <w:sz w:val="15"/>
        </w:rPr>
        <w:t xml:space="preserve">3. </w:t>
      </w:r>
      <w:r>
        <w:rPr>
          <w:rFonts w:ascii="Calibri" w:hAnsi="Calibri"/>
          <w:b w:val="0"/>
          <w:color w:val="3A4A28"/>
          <w:sz w:val="17"/>
        </w:rPr>
        <w:t>StockAnalysis, 'Citigroup (C) Statistics &amp; Valuation', accessed March 2026</w:t>
      </w:r>
    </w:p>
    <w:p>
      <w:pPr>
        <w:spacing w:before="20" w:after="20"/>
        <w:ind w:left="170"/>
      </w:pPr>
      <w:r>
        <w:rPr>
          <w:rFonts w:ascii="Calibri" w:hAnsi="Calibri"/>
          <w:b/>
          <w:color w:val="4A6B25"/>
          <w:sz w:val="15"/>
        </w:rPr>
        <w:t xml:space="preserve">4. </w:t>
      </w:r>
      <w:r>
        <w:rPr>
          <w:rFonts w:ascii="Calibri" w:hAnsi="Calibri"/>
          <w:b w:val="0"/>
          <w:color w:val="3A4A28"/>
          <w:sz w:val="17"/>
        </w:rPr>
        <w:t>Citigroup Inc. Q4 2025 Earnings Call Highlights, Yahoo Finance,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