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DAL</w:t>
      </w:r>
      <w:r>
        <w:rPr>
          <w:rFonts w:ascii="Calibri" w:hAnsi="Calibri"/>
          <w:b/>
          <w:color w:val="1A2010"/>
          <w:sz w:val="40"/>
        </w:rPr>
        <w:t xml:space="preserve">  Delta Air Lines,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32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Airlines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Delta Air Lines is a major U.S. airline operating the world's largest airline hub in Atlanta, serving over 200 million passengers annually across 275+ destinations in 50+ countries. The company operates through Airline and Refinery segments, with a premium-focused strategy centered on SkyMiles loyalty and Delta One business class.</w:t>
      </w:r>
    </w:p>
    <w:p>
      <w:r>
        <w:rPr>
          <w:rFonts w:ascii="Calibri" w:hAnsi="Calibri"/>
          <w:b/>
          <w:color w:val="6E8450"/>
          <w:sz w:val="18"/>
        </w:rPr>
        <w:t>103,000 Employees · https://www.delta.com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Delta leverages AI and digital technology to enhance customer experience through the Fly Delta app, predictive maintenance, and personalized travel recommendations [1]. The company's partnership approach to AI integrates automation into airport operations and call center servicing under CDO Eric Phillips [2]. However, airline innovation is inherently constrained by regulatory frameworks, fleet standardization, and infrastructure limitations compared to technology-native industries.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Ed Bastian is one of America's most respected leaders, named to the 2025 TIME100, Glassdoor Top 10 CEOs (2021), and Chief Executive of the Year (2023) [2]. His $1.4 billion profit-sharing program in 2024 directly rewards employees, and the 'virtuous circle' philosophy — take care of people, they take care of customers — has driven Delta to Fortune's 100 Best Companies to Work For [2]. Core values of Care, Integrity, Resilience, and Servant Leadership permeate the 103,000-person workforce.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Delta trades at an attractive 8.2x forward P/E with D/E of 102.5% — high but typical for capital-intensive airlines [1]. ROE of 27.7% is excellent, driven by operating leverage on $63.4B revenue, though profit margins of 7.9% are thin by market standards [3]. Revenue growth of 2.9% YoY reflects industry maturity, but strong free cash flow of $2.95B supports debt reduction and the reinstated dividend.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Delta exemplifies infinite game thinking under Ed Bastian's leadership through its people-first culture, long-term premium brand investment, and $1.4B profit-sharing that aligns employee and company interests. The company's willingness to invest through cycles in fleet modernization, airport facilities, and employee development reflects playing for the long term.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Delta's mission extends beyond transportation to 'connecting the people and cultures of the globe' with servant leadership values. Bastian's commitment to employee welfare through industry-leading profit sharing and benefits creates genuine purpose alignment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$1.4B profit-sharing program, Fortune 100 Best Companies ranking, and employee-first culture during COVID (avoiding furloughs where possible) demonstrate deep institutional trust [2]. Bastian's Glassdoor Top 10 CEO recognition and A-rated executive team on Comparably validate employee confidence.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Delta uses competition with United and American Airlines to sharpen its premium differentiation strategy rather than engaging in destructive fare wars [1]. The focus on service quality, loyalty, and premium product over raw capacity demonstrates healthy rivalry.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Delta pivoted to sustainable aviation fuel investment after abandoning carbon offset strategy, demonstrating willingness to change approach when evidence warranted [3]. The premium brand evolution from low-cost post-bankruptcy to industry-leading NPS shows strategic reinvention capability.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Bastian showed extraordinary courage during COVID by prioritizing employee retention over cost-cutting, and subsequently invested heavily in premium products when competitors retrenchd [2]. His public commitment to transparency on ESG, despite the greenwashing lawsuit, reflects accountability.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Delta Air Lines is the premium airline franchise in the U.S. trading at just 8.2x forward earnings with $2.95B in free cash flow, industry-leading employee culture, and expanding premium revenue streams [1]. CEO Bastian's servant leadership model has produced the highest NPS scores in the industry, and the SkyMiles co-brand credit card partnership with American Express generates $7B+ annually in high-margin revenue [2]. EPS growth of 44.6% YoY and continued debt deleveraging from $21.4B position the stock for multiple expansion as the balance sheet normalizes.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cyclicality — airlines are inherently exposed to recessions, fuel price shocks, and demand softness, with 2.9% revenue growth already showing deceleration [1]. The $21.4B debt load at 102.5% D/E creates significant financial risk in a downturn, and the greenwashing lawsuit over carbon neutrality claims (potentially $1B liability) introduces legal uncertainty [3]. Labor costs are rising with new pilot contracts across the industry, and capacity additions from competitors could pressure yields. The reinstated dividend at 1.1% yield provides minimal income cushion versus the cyclical risk profile.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Premium revenue acceleration through Delta One suite expansion and SkyMiles partnership with AmEx, targeting $7B+ in annual co-brand revenue with high-margin recurring cash flows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 reduction from $21.4B toward sub-$15B by 2027 using $2.95B annual FCF, potentially achieving investment-grade credit upgrade and lower borrowing costs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International route expansion and joint venture optimization with LATAM, Korean Air, and Virgin Atlantic growing high-yield intercontinental revenue 10%+ annually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Recessionary demand shock could reduce passenger yields 10-15% while fixed costs remain elevated, compressing already thin 7.9% profit margins toward breakeven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Jet fuel price spike above $100/barrel from geopolitical disruption would add $2-3B in annual costs that cannot be fully passed through to consumers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Greenwashing class-action lawsuit (Berrin v. Delta) with potential $1B+ liability could force settlement costs and reputational damage around sustainability claims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serves as a moderate enabler for Delta through predictive maintenance, dynamic pricing optimization, and customer service automation [1]. The company deploys AI in airport operations and digital experience personalization, but the core business of physically moving passengers remains labor-intensive and not easily disrupted by AI [2]. AI-powered competitors in adjacent travel segments (booking, loyalty) pose modest competitive risk rather than existential threat.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Delta Air Lines Q4 2025 Earnings Release,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Yale School of Management — Ed Bastian Leadership Profile; Comparably Executive Team Ratings; Fortune 100 Best Companies to Work For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Berrin v. Delta Air Lines Inc. greenwashing lawsuit; Delta 2024 ESG Report; Washington Post, CBS News reports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