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DAN</w:t>
      </w:r>
      <w:r>
        <w:rPr>
          <w:rFonts w:ascii="Calibri" w:hAnsi="Calibri"/>
          <w:b/>
          <w:color w:val="1A2010"/>
          <w:sz w:val="40"/>
        </w:rPr>
        <w:t xml:space="preserve">  Dana Incorporated</w:t>
      </w:r>
    </w:p>
    <w:p>
      <w:pPr>
        <w:spacing w:after="120"/>
      </w:pPr>
      <w:r>
        <w:rPr>
          <w:rFonts w:ascii="Calibri" w:hAnsi="Calibri"/>
          <w:b/>
          <w:color w:val="6E8450"/>
          <w:sz w:val="18"/>
        </w:rPr>
        <w:t>GROWTH SLEEVE · 2026-04-24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Dana Incorporated provides power-conveyance and energy-management solutions for on-highway vehicles worldwide. The company supplies axles, driveshafts, transmissions, e-axle and e-transmission systems, inverters, electric motors, and thermal management products to light vehicle, commercial vehicle, and off-highway OEMs across North America, Europe, South America, and Asia Pacific.</w:t>
      </w:r>
    </w:p>
    <w:p>
      <w:r>
        <w:rPr>
          <w:rFonts w:ascii="Calibri" w:hAnsi="Calibri"/>
          <w:b/>
          <w:color w:val="6E8450"/>
          <w:sz w:val="18"/>
        </w:rPr>
        <w:t>26,900 Employees · https://www.dana.com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 has executed a meaningful strategic pivot from legacy ICE drivetrain components toward electrified propulsion systems, developing e-axles, e-transmissions, and thermal management solutions for EVs — earning 2 points on innovation track record [1]. The company appointed Seth Metzger as CTO with deep expertise in systems integration and vehicle architecture to drive innovation in hybrid and electric platforms [3]. No AI-powered products are shipping, though manufacturing operations likely use standard Industry 4.0 automation (0 points on AI deployment). Dana holds meaningful market share in drivetrain components but faces intense competition from BorgWarner and Magna (1 point on market share). The $750M three-year new-business backlog with next-gen OEM platforms provides pipeline visibility (1 point) [1]. R&amp;D spending is at industry-average levels (1 point).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Dana's stated values of 'valuing others, inspiring innovation, growing responsibly, and winning together' constitute a clear but generic manufacturing mission, earning a floor of 2 [4]. The company publishes annual Sustainability and Social Responsibility Reports documenting community engagement and environmental programs, earning 1 point on community impact [5]. Glassdoor rates Dana at 3.6/5 with culture and values at 3.2/5, with employees noting mixed sentiment about career development and work-life balance — scoring 0 on retention [3]. The November 2024 CEO transition from James Kamsickas to R. Bruce McDonald creates leadership uncertainty, and insider transaction data shows primarily stock awards rather than open-market purchases, scoring 0 on insider buying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Dana's infrastructure is severely constrained by a D/E ratio of 394% (above the 300% floor, scoring 0), negative ROE of -4.3% (scoring 0), and a PEG ratio of 4.21 (above the 3.0 floor, scoring 0) [2]. Revenue declined from $10.2B in 2022 to $7.5B in 2025 (3-year CAGR of -9.6%), partly driven by the off-highway segment divestiture but reflecting structural headwinds in the auto parts sector. The bright spots are an attractive forward P/E of 10.3x and management's 2026 guidance for adjusted EBITDA of $750M-$850M representing 250bps of margin expansion [1]. Profit margin of 1.1% is near-floor, and the payout ratio of 91% on a minimal 1.04% yield signals financial strain.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Dana's 120-year history as a drivetrain supplier demonstrates endurance, but the November 2024 CEO transition, aggressive restructuring, and financial strain from the EV transition investment create finite-game pressures that dominate the current strategic posture.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Dana's purpose centers on 'enabling the vehicles that move the world' — a genuine connection to mobility but one that is functionally tied to OEM customer demand rather than an independent cause that transcends the business [4]. The company's 120-year operating history suggests institutional endurance, but the recent CEO replacement and restructuring suggest strategic decisions are currently driven by financial necessity rather than cause. Score: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Dana's 26,900-person global workforce faces significant uncertainty from the November 2024 CEO transition, restructuring actions, and ongoing cost-reduction programs [3]. Glassdoor rates the company 3.6/5 overall but only 3.2/5 on culture and values, with mixed reviews about leadership development and work-life balance. The new CEO R. Bruce McDonald brings industry experience but has not yet established a track record at Dana. Score: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 competes with BorgWarner, Magna, and ZF Friedrichshafen in a finite-game industry where market share language dominates. Management's communications focus on 'winning' new business backlog and competitive positioning rather than learning from rivals' strengths [1]. The auto parts industry's competitive dynamics are inherently zero-sum on OEM platform wins. Score: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 has demonstrated incremental flexibility by investing in e-axle and e-propulsion technology while maintaining its ICE drivetrain business — adapting to the EV transition rather than ignoring it [1]. However, the company has not executed a transformative pivot; the off-highway divestiture was a portfolio simplification rather than a reinvention. The $750M new-business backlog includes EV platforms, showing directional flexibility. Score: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new leadership under CEO McDonald has pursued aggressive cost actions and restructuring to accelerate value creation, targeting $200M in incremental new-business growth and 250bps of EBITDA margin expansion in 2026 [1]. However, these actions appear driven by financial necessity (D/E of 394%, negative ROE) rather than visionary long-term investment. Maintaining the dividend at $0.40/year during financial strain shows some commitment to shareholders but may be imprudent at a 91% payout ratio.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Dana Incorporated at 10.3x forward earnings offers deep value exposure to an underappreciated EV drivetrain transition play with a $750M three-year new-business backlog and guided 2026 EBITDA of $750M-$850M representing 250bps of margin expansion over 2025 [1]. The company's e-axle and thermal management capabilities position it to benefit from the long-term electrification trend across light vehicle, commercial, and off-highway markets, with $200M in incremental new-business growth expected in 2026 from next-gen OEM platforms.</w:t>
      </w:r>
    </w:p>
    <w:p>
      <w:pPr>
        <w:spacing w:after="120"/>
      </w:pPr>
      <w:r>
        <w:rPr>
          <w:rFonts w:ascii="Calibri" w:hAnsi="Calibri"/>
          <w:b w:val="0"/>
          <w:color w:val="3A4A28"/>
          <w:sz w:val="20"/>
        </w:rPr>
        <w:t>The bear case is severe: D/E of 394% represents critical leverage risk, negative ROE of -4.3% reflects a business that is destroying shareholder value, and revenue has declined from $10.2B to $7.5B in three years [2]. The November 2024 CEO replacement suggests the board lost confidence in the prior strategic direction, and new CEO McDonald's restructuring may not be sufficient to restore profitability. The EV transition creates binary risk — if EV adoption slows, Dana's electrification investments may not generate returns, while if EVs accelerate, the margin compression from new platform launches could persist. The 91% payout ratio on a 1.04% yield signals a dividend that is barely sustainable and unlikely to grow, while the PEG of 4.21 suggests the market sees limited growth relative to the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$750M three-year new-business backlog with $200M incremental revenue expected in 2026 from next-gen OEM platforms, providing visibility into revenue recovery [1]</w:t>
      </w:r>
    </w:p>
    <w:p>
      <w:pPr>
        <w:spacing w:before="40" w:after="40"/>
        <w:ind w:left="283"/>
      </w:pPr>
      <w:r>
        <w:rPr>
          <w:rFonts w:ascii="Calibri" w:hAnsi="Calibri"/>
          <w:b/>
          <w:color w:val="4A6B25"/>
          <w:sz w:val="20"/>
        </w:rPr>
        <w:t xml:space="preserve">2. </w:t>
      </w:r>
      <w:r>
        <w:rPr>
          <w:rFonts w:ascii="Calibri" w:hAnsi="Calibri"/>
          <w:b w:val="0"/>
          <w:color w:val="3A4A28"/>
          <w:sz w:val="20"/>
        </w:rPr>
        <w:t>Management targeting adjusted EBITDA of $750M-$850M in 2026, a 31% increase at midpoint from 2025's $610M, driven by cost restructuring and improved business mix [1]</w:t>
      </w:r>
    </w:p>
    <w:p>
      <w:pPr>
        <w:spacing w:before="40" w:after="40"/>
        <w:ind w:left="283"/>
      </w:pPr>
      <w:r>
        <w:rPr>
          <w:rFonts w:ascii="Calibri" w:hAnsi="Calibri"/>
          <w:b/>
          <w:color w:val="4A6B25"/>
          <w:sz w:val="20"/>
        </w:rPr>
        <w:t xml:space="preserve">3. </w:t>
      </w:r>
      <w:r>
        <w:rPr>
          <w:rFonts w:ascii="Calibri" w:hAnsi="Calibri"/>
          <w:b w:val="0"/>
          <w:color w:val="3A4A28"/>
          <w:sz w:val="20"/>
        </w:rPr>
        <w:t>E-axle and thermal management product adoption as OEMs accelerate EV and hybrid platform launches, positioning Dana for secular growth in electrified drivetrain content per vehicle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ratio of 394% represents critical leverage that limits strategic flexibility, increases refinancing risk in a rising rate environment, and could trigger covenant violations if EBITDA falls below projections [2]</w:t>
      </w:r>
    </w:p>
    <w:p>
      <w:pPr>
        <w:spacing w:before="40" w:after="40"/>
        <w:ind w:left="283"/>
      </w:pPr>
      <w:r>
        <w:rPr>
          <w:rFonts w:ascii="Calibri" w:hAnsi="Calibri"/>
          <w:b/>
          <w:color w:val="4A6B25"/>
          <w:sz w:val="20"/>
        </w:rPr>
        <w:t xml:space="preserve">2. </w:t>
      </w:r>
      <w:r>
        <w:rPr>
          <w:rFonts w:ascii="Calibri" w:hAnsi="Calibri"/>
          <w:b w:val="0"/>
          <w:color w:val="3A4A28"/>
          <w:sz w:val="20"/>
        </w:rPr>
        <w:t>Revenue declined from $10.2B to $7.5B over three years (-9.6% CAGR), and the 2026 guidance range of $7.3B-$7.7B suggests no meaningful organic growth recovery, leaving Dana dependent on cost cuts for earnings improvement [1]</w:t>
      </w:r>
    </w:p>
    <w:p>
      <w:pPr>
        <w:spacing w:before="40" w:after="40"/>
        <w:ind w:left="283"/>
      </w:pPr>
      <w:r>
        <w:rPr>
          <w:rFonts w:ascii="Calibri" w:hAnsi="Calibri"/>
          <w:b/>
          <w:color w:val="4A6B25"/>
          <w:sz w:val="20"/>
        </w:rPr>
        <w:t xml:space="preserve">3. </w:t>
      </w:r>
      <w:r>
        <w:rPr>
          <w:rFonts w:ascii="Calibri" w:hAnsi="Calibri"/>
          <w:b w:val="0"/>
          <w:color w:val="3A4A28"/>
          <w:sz w:val="20"/>
        </w:rPr>
        <w:t>EV transition timing risk — if OEM EV platform launches are delayed or volumes disappoint, Dana's electrification investments in e-axles and thermal management may not generate adequate returns against the capital deployed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Dana's core business of manufacturing physical drivetrain components — axles, driveshafts, e-axles, motors, and thermal management systems — is structurally protected from AI disruption. AI cannot replicate the physical manufacturing, precision engineering, and supply chain relationships required to produce drivetrain hardware at scale [1]. The primary technology risk is EV transition timing rather than AI substitution, as Dana must balance ICE and electric product investments. Dana earns 7 points on AI Risk Protection (PROTECTED) with deep physical moats and regulatory requirements for automotive safety standards. The company does not generate meaningful AI-related revenue (0 points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Dana Incorporated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DAN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Dana Incorporated Corporate Website — Leadership and Glassdoor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Dana Incorporated Corporate Values and Mission Statement,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Dana Incorporated 2023 Sustainability and Social Responsibility Report</w:t>
      </w:r>
    </w:p>
    <w:p>
      <w:pPr>
        <w:spacing w:before="20" w:after="20"/>
        <w:ind w:left="170"/>
      </w:pPr>
      <w:r>
        <w:rPr>
          <w:rFonts w:ascii="Calibri" w:hAnsi="Calibri"/>
          <w:b/>
          <w:color w:val="4A6B25"/>
          <w:sz w:val="15"/>
        </w:rPr>
        <w:t xml:space="preserve">6. </w:t>
      </w:r>
      <w:r>
        <w:rPr>
          <w:rFonts w:ascii="Calibri" w:hAnsi="Calibri"/>
          <w:b w:val="0"/>
          <w:color w:val="3A4A28"/>
          <w:sz w:val="17"/>
        </w:rPr>
        <w:t>SEC Filings — Dana Incorporated Insider Transactions,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