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DAWN</w:t>
      </w:r>
      <w:r>
        <w:rPr>
          <w:rFonts w:ascii="Calibri" w:hAnsi="Calibri"/>
          <w:b/>
          <w:color w:val="1A2010"/>
          <w:sz w:val="40"/>
        </w:rPr>
        <w:t xml:space="preserve">  Day One Biopharmaceuticals, Inc.</w:t>
      </w:r>
    </w:p>
    <w:p>
      <w:pPr>
        <w:spacing w:after="120"/>
      </w:pPr>
      <w:r>
        <w:rPr>
          <w:rFonts w:ascii="Calibri" w:hAnsi="Calibri"/>
          <w:b/>
          <w:color w:val="6E8450"/>
          <w:sz w:val="18"/>
        </w:rPr>
        <w:t>GROWTH SLEEVE · 2026-04-01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Day One Biopharmaceuticals is a commercial-stage biopharmaceutical company focused on developing and commercializing therapies for pediatric and adult cancers. Its lead product OJEMDA (tovorafenib) is an oral, brain-penetrant RAF kinase inhibitor approved for pediatric low-grade glioma, with a growing pipeline including DAY301 (PTK7 ADC) and Emi-Le (B7-H4 ADC).</w:t>
      </w:r>
    </w:p>
    <w:p>
      <w:r>
        <w:rPr>
          <w:rFonts w:ascii="Calibri" w:hAnsi="Calibri"/>
          <w:b/>
          <w:color w:val="6E8450"/>
          <w:sz w:val="18"/>
        </w:rPr>
        <w:t>178 Employees · https://dayonebio.com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OJEMDA achieved FDA approval for pediatric low-grade glioma in 2024 and generated $155.4M in FY2025 revenue (172% YoY growth), establishing Day One as a commercial-stage company from zero revenue in just two years [1]. AI Deployment (0/2): No AI-related products or internal AI deployment evident. Market Share (2/2): OJEMDA is the first and only approved targeted therapy for pediatric low-grade glioma with RAF alterations, commanding 100% of a newly created market category with 4,635 total prescriptions in FY2025, up 181% YoY [1]. Pipeline (2/2): Phase 3 FIREFLY-2 trial enrollment completing H1 2026 for frontline pLGG with mid-2027 data readout; DAY301 PTK7 ADC and Emi-Le B7-H4 ADC in Phase 1 for solid tumors; NCCN added tovorafenib for adult BRAF-altered glioma [1]. R&amp;D Intensity (1/1): R&amp;D spending of $148.1M against $155.4M revenue (95% R&amp;D intensity) demonstrates exceptional commitment to pipeline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Day One's mission — treating childhood and adult diseases 'with equal intensity' — is transformative and validated by execution. The company was founded specifically to address the neglect of pediatric oncology by big pharma, and OJEMDA's approval proves the model works [2]. Community Impact (2/2): Day One directly addresses an underserved population — children with brain tumors — where no targeted therapies previously existed. Three-year FIREFLY-1 data shows 53% ORR and 42.6-month median time-to-next-treatment, transforming outcomes for pediatric patients [1]. Employee Retention (1/2): Small team of 178 employees with a mission-driven culture described as 'passionate oncologists and scientists unafraid to disrupt the status quo'; limited public retention data available [2]. Insider Buying (0/2): No evidence of significant net insider buying; CEO Bender's compensation is $6.56M, primarily equity-based, but no recent open-market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Day One remains pre-profitability despite rapid OJEMDA revenue growth. FY2025 revenue of $155.4M (172% YoY growth) is strong, but the company posted a $107.3M net loss with -67.9% profit margin [1]. D/E of 0.6% reflects minimal debt, scoring perfectly. ROE of -22.7% and negative forward P/E (-501x) reflect the pre-profit reality. Cash position of $441.1M provides adequate runway [1]. The pending Servier acquisition at $21.50/share (~$2.5B) largely caps upside. Liquidity floor cleared: 4.4M avg vol × $21.43 = $95M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Day One was founded with a genuine Just Cause — treating childhood cancer with the same urgency as adult cancer — and has validated that purpose through OJEMDA's approval and commercial success. The pending Servier acquisition at $21.50/share suggests the founders are willing to hand the mission to a larger organization that can scale it globally, which is consistent with infinite game thinking if the cause matters more than the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Day One's Just Cause is among the strongest in biotech: addressing the systemic neglect of pediatric oncology by developing targeted therapies for children 'with equal intensity' as adults [2]. This is not a marketing tagline — it's the founding thesis, validated by OJEMDA becoming the first approved RAF inhibitor for pediatric glioma. CEO Bender has consistently referenced this mission in strategic decisions, and the company's pipeline continues to focus on underserved oncology populations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Small team of 178 employees with a culture described as embracing risk-taking, simplifying complexity, and putting patients first [2]. The company promotes diverse voices and flat decision-making ('great ideas don't come with a title'). Limited public data on turnover or tenure, but the mission-driven nature and small size suggest above-average cohesion for a biotech startup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Day One's competitive framing is focused on disrupting the pharmaceutical industry's neglect of pediatric oncology rather than beating specific rivals [2]. The company positions traditional big pharma's lack of investment in childhood cancer as the problem to solve, using competitive pressure constructively to improve outcomes for underserved patients.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Servier acquisition ($2.5B) demonstrates willingness to hand the company to a partner that can scale OJEMDA globally, showing flexibility in how the mission is advanced [1]. The pipeline expansion from single-agent tovorafenib into ADCs (DAY301, Emi-Le) shows strategic evolution, though the company is still early-stage and hasn't faced a true existential pivot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Founding a company specifically to address pediatric oncology — a commercially unattractive space that big pharma systematically ignores — demonstrates genuine courage [2]. CEO Bender invested in clinical development during the pre-revenue years, prioritizing the pipeline over near-term profitability. The decision to accept Servier's acquisition shows prioritizing global patient access over independent company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Day One Biopharmaceuticals has validated its pediatric oncology thesis with OJEMDA generating $155.4M in FY2025 revenue (172% YoY growth) and 2026 guidance of $225-250M, representing 53% growth at the midpoint [1]. The company commands 100% market share as the only approved targeted therapy for pediatric low-grade glioma with RAF alterations, with 4,635 prescriptions in FY2025 (up 181%). Three-year FIREFLY-1 data showing 53% ORR and 42.6-month median time-to-next-treatment validates durability [1]. Cash of $441.1M provides runway, and the pipeline (FIREFLY-2 Phase 3 completing enrollment H1 2026, DAY301 and Emi-Le ADCs) offers optionality beyond tovorafenib.</w:t>
      </w:r>
    </w:p>
    <w:p>
      <w:pPr>
        <w:spacing w:after="120"/>
      </w:pPr>
      <w:r>
        <w:rPr>
          <w:rFonts w:ascii="Calibri" w:hAnsi="Calibri"/>
          <w:b w:val="0"/>
          <w:color w:val="3A4A28"/>
          <w:sz w:val="20"/>
        </w:rPr>
        <w:t>The investment case is largely capped by Servier's pending acquisition at $21.50/share (~$2.5B), expected to close Q2 2026, representing a 68% premium to the March 5 close [1]. For holders, downside risk centers on antitrust or tender failure blocking the deal. The company remains unprofitable ($107.3M FY2025 net loss, -67.9% margin) and would face binary pipeline risk as a standalone entity — FIREFLY-2 failure would undermine the frontline expansion thesis. Revenue concentration in a single product (OJEMDA) and a niche indication (pediatric LGG) limits the commercial addressable market. If the Servier deal breaks, the stock would likely trade significantly below the $21.50 offer price given the pre-profit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Servier acquisition closing Q2 2026 at $21.50/share provides near-term certainty for shareholders with 68% premium to pre-deal price [1]</w:t>
      </w:r>
    </w:p>
    <w:p>
      <w:pPr>
        <w:spacing w:before="40" w:after="40"/>
        <w:ind w:left="283"/>
      </w:pPr>
      <w:r>
        <w:rPr>
          <w:rFonts w:ascii="Calibri" w:hAnsi="Calibri"/>
          <w:b/>
          <w:color w:val="4A6B25"/>
          <w:sz w:val="20"/>
        </w:rPr>
        <w:t xml:space="preserve">2. </w:t>
      </w:r>
      <w:r>
        <w:rPr>
          <w:rFonts w:ascii="Calibri" w:hAnsi="Calibri"/>
          <w:b w:val="0"/>
          <w:color w:val="3A4A28"/>
          <w:sz w:val="20"/>
        </w:rPr>
        <w:t>FIREFLY-2 Phase 3 enrollment completion H1 2026 for frontline pLGG, enabling mid-2027 data readout and potential 2028 label expansion [1]</w:t>
      </w:r>
    </w:p>
    <w:p>
      <w:pPr>
        <w:spacing w:before="40" w:after="40"/>
        <w:ind w:left="283"/>
      </w:pPr>
      <w:r>
        <w:rPr>
          <w:rFonts w:ascii="Calibri" w:hAnsi="Calibri"/>
          <w:b/>
          <w:color w:val="4A6B25"/>
          <w:sz w:val="20"/>
        </w:rPr>
        <w:t xml:space="preserve">3. </w:t>
      </w:r>
      <w:r>
        <w:rPr>
          <w:rFonts w:ascii="Calibri" w:hAnsi="Calibri"/>
          <w:b w:val="0"/>
          <w:color w:val="3A4A28"/>
          <w:sz w:val="20"/>
        </w:rPr>
        <w:t>NCCN guideline addition for adult BRAF-altered glioma expands tovorafenib's addressable market beyond pediatric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Servier acquisition failure — antitrust or tender conditions not met would remove the $21.50 floor and expose investors to pre-profit biotech risk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OJEMDA represents 100% of product revenue in a niche pediatric oncology indication with limited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 FIREFLY-2 Phase 3 failure in frontline pLGG would undermine the growth thesis and DAY301/Emi-Le ADCs remain Phase 1 with unproven efficacy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and commercialization for pediatric oncology is structurally immune to AI disruption. OJEMDA's value is in the molecule itself — a brain-penetrant RAF kinase inhibitor protected by patents and FDA exclusivity — not in any process AI could replicate [1]. The regulatory moat (orphan drug designation, pediatric exclusivity) and clinical trial requirements create barriers that AI cannot bypass. Oncology treatment decisions require physician judgment and patient-specific factors. AI Opportunity (1/1): AI is being used across pharma for drug discovery and clinical trial optimization; Day One's pipeline expansion into ADCs (DAY301, Emi-Le) could benefit from AI-assisted target identification and trial design, though no specific AI revenue is generated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Day One Q4 &amp; FY2025 Earnings Release — $155.4M revenue, $107.3M net loss, $441.1M cash, 2026 guidance $225-250M, February 24, 2026</w:t>
      </w:r>
    </w:p>
    <w:p>
      <w:pPr>
        <w:spacing w:before="20" w:after="20"/>
        <w:ind w:left="170"/>
      </w:pPr>
      <w:r>
        <w:rPr>
          <w:rFonts w:ascii="Calibri" w:hAnsi="Calibri"/>
          <w:b/>
          <w:color w:val="4A6B25"/>
          <w:sz w:val="15"/>
        </w:rPr>
        <w:t xml:space="preserve">2. </w:t>
      </w:r>
      <w:r>
        <w:rPr>
          <w:rFonts w:ascii="Calibri" w:hAnsi="Calibri"/>
          <w:b w:val="0"/>
          <w:color w:val="3A4A28"/>
          <w:sz w:val="17"/>
        </w:rPr>
        <w:t>Day One Biopharmaceuticals website — leadership team, mission, culture, and pipeline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DAWN, accessed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