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DBRG</w:t>
      </w:r>
      <w:r>
        <w:rPr>
          <w:rFonts w:ascii="Calibri" w:hAnsi="Calibri"/>
          <w:b/>
          <w:color w:val="1A2010"/>
          <w:sz w:val="40"/>
        </w:rPr>
        <w:t xml:space="preserve">  DigitalBridge Group, Inc.</w:t>
      </w:r>
    </w:p>
    <w:p>
      <w:pPr>
        <w:spacing w:after="120"/>
      </w:pPr>
      <w:r>
        <w:rPr>
          <w:rFonts w:ascii="Calibri" w:hAnsi="Calibri"/>
          <w:b/>
          <w:color w:val="6E8450"/>
          <w:sz w:val="18"/>
        </w:rPr>
        <w:t>GROWTH SLEEVE · 2026-03-31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DigitalBridge Group, Inc. is a leading global alternative asset manager dedicated to investing in digital infrastructure. The company manages approximately $115 billion in assets across data centers, cell towers, fiber networks, small cells, and edge infrastructure. SoftBank Group announced a $4 billion acquisition of DigitalBridge in December 2025, expected to close in H2 2026. Headquartered in Boca Raton, Florida.</w:t>
      </w:r>
    </w:p>
    <w:p>
      <w:r>
        <w:rPr>
          <w:rFonts w:ascii="Calibri" w:hAnsi="Calibri"/>
          <w:b/>
          <w:color w:val="6E8450"/>
          <w:sz w:val="18"/>
        </w:rPr>
        <w:t>316 Employees · https://www.digitalbridge.com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Marc Ganzi executed a transformative pivot from a diversified REIT (Colony Capital) into a pure-play digital infrastructure asset manager, divesting over $100B in legacy assets between 2019-2021—a textbook business model transformation earning maximum track record points [2]. The January 2024 joint launch of Articul8 with Intel for enterprise generative AI solutions demonstrates AI deployment with measurable results [2]. DigitalBridge's 'AI Factories'—massive liquid-cooled data center campuses designed for high-density GPU clusters—represent genuine next-generation product innovation [2]. Market share leadership is strong: $115B AUM makes DigitalBridge one of the largest digital infrastructure investors globally. R&amp;D is embedded in portfolio companies rather than at the holding company level.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DigitalBridge's mission to 'invest in digital infrastructure that connects the world' is clear, specific, and differentiated from generic asset management—mission floor of 3 [2]. The 30-year heritage of Ganzi and team in digital infrastructure demonstrates mission consistency validated by execution. ESG commitments include portfolio companies targeting net zero by 2030 and formal DEI policies [3]. Board diversity of 30% women and 20% ethnic minorities signals governance quality. However, no specific charitable programs or community investment data was found beyond ESG framework compliance. Employee retention data unavailable for the 316-person team. No insider buying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13.5% is excellent at 1.0 [1]. Profit margin of 151% scores 1.0 (unusual for asset managers due to carried interest and investment gains). However, ROE of -0.92% scores 0.0, revenue growth YoY of -27.6% scores 0.0, and forward P/E of 38.5 scores 0.54 [1]. PEG ratio unavailable. Revenue growth 5yr CAGR unavailable. The -27.6% revenue decline reflects asset sales during the portfolio transformation rather than organic weakness. Liquidity passes strongly at ~$66M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DigitalBridge demonstrates strong infinite game characteristics under Marc Ganzi's leadership. The 30-year heritage in digital infrastructure, the bold transformation from Colony Capital's diversified REIT into a pure-play digital infrastructure manager, and the patient divestiture of $100B+ in legacy assets all reflect a leader playing to keep playing [2]. The SoftBank acquisition validates the long-term thesis. However, the pending sale to SoftBank introduces uncertainty about whether the infinite mindset will survive under new ownership, and Ganzi's aggressive dealmaking pace could reflect finite optimization if the cause becomes 'AUM growth' rather than 'connecting the world.'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DigitalBridge's cause—investing in digital infrastructure that connects the global economy—is genuine, specific, and has been validated by Ganzi's 30-year career in the sector [2]. The transformation from Colony Capital's legacy portfolio into a pure-play digital infrastructure firm required abandoning profitable but misaligned businesses, demonstrating that the cause shapes strategy. However, 'connecting the world through infrastructure' is ultimately about enabling other companies' missions rather than having a transformative vision of its own. Just Cause: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DigitalBridge's 316 employees operate across global offices with the leadership team including deep industry veterans [2]. The ESG report notes formal DEI policies, the ILPA Diversity in Action initiative, and the CEO Action for Diversity and Inclusion Pledge [3]. Board diversity (30% women, 20% ethnic minorities) suggests inclusive governance. However, no specific employee retention data, Glassdoor reviews, or evidence of psychological safety was found. The company's small headcount relative to $115B AUM suggests heavy reliance on senior professionals. Trusting Teams: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DigitalBridge operates alongside Brookfield Infrastructure, KKR Infrastructure, and Global Infrastructure Partners (now BlackRock), and Ganzi's public commentary focuses on the sector opportunity rather than defeating competitors [2]. The SoftBank acquisition itself can be read as acknowledging that scale requires partnership rather than going it alone—a fundamentally infinite mindset. The company frames its competitive advantage as specialization and heritage rather than market dominance. Worthy Rivals: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Colony Capital (hotels, healthcare, credit) into DigitalBridge (pure-play digital infrastructure) is one of the most dramatic strategic pivots in alternative asset management history [2]. Ganzi divested $100B+ in legacy assets—profitable businesses—because they didn't serve the digital infrastructure cause. This is textbook existential flexibility: abandoning what works to pursue what matters. The SoftBank deal extends this further, recognizing that AI infrastructure buildout requires scale beyond what DigitalBridge could achieve independently. Existential Flexibility: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Ganzi demonstrated genuine courage in transforming Colony Capital during a period when the legacy portfolio was generating revenue. The decision to divest $100B+ in assets and concentrate entirely on digital infrastructure required conviction that the market initially questioned [2]. The warning that 'data centers will run out of power in two years' shows willingness to speak uncomfortable truths about industry constraints. However, the SoftBank sale could be read as cashing out rather than continuing to build independently.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DigitalBridge is a premier digital infrastructure asset manager with $115B AUM, positioned at the epicenter of AI-driven data center demand. CEO Marc Ganzi's 30-year track record and the transformative pivot from Colony Capital's legacy portfolio validate deep sector expertise [2]. SoftBank's $4B acquisition offer (announced December 2025) provides a near-term price floor and strategic validation that AI infrastructure is a generational investment opportunity [2].</w:t>
      </w:r>
    </w:p>
    <w:p>
      <w:pPr>
        <w:spacing w:after="120"/>
      </w:pPr>
      <w:r>
        <w:rPr>
          <w:rFonts w:ascii="Calibri" w:hAnsi="Calibri"/>
          <w:b w:val="0"/>
          <w:color w:val="3A4A28"/>
          <w:sz w:val="20"/>
        </w:rPr>
        <w:t>The investment case is complicated by the pending SoftBank acquisition, which caps near-term upside at the deal price. Revenue declined 27.6% YoY as the company continues optimizing its portfolio, and ROE is slightly negative at -0.92% [1]. The forward P/E of 38.5x is elevated for an asset manager, and fee-related earnings growth must accelerate to justify the valuation. If the SoftBank deal closes as expected in H2 2026, shareholders receive $4B in total consideration. The risk is deal failure, which could send shares significantly lower given current fundamentals. For long-term holders, the question is whether to hold through the deal or take current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$4B acquisition expected to close H2 2026, providing a definitive price floor and exit [2]</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demand creates a '38GW opportunity' worth hundreds of billions for digital infrastructure providers [2]</w:t>
      </w:r>
    </w:p>
    <w:p>
      <w:pPr>
        <w:spacing w:before="40" w:after="40"/>
        <w:ind w:left="283"/>
      </w:pPr>
      <w:r>
        <w:rPr>
          <w:rFonts w:ascii="Calibri" w:hAnsi="Calibri"/>
          <w:b/>
          <w:color w:val="4A6B25"/>
          <w:sz w:val="20"/>
        </w:rPr>
        <w:t xml:space="preserve">3. </w:t>
      </w:r>
      <w:r>
        <w:rPr>
          <w:rFonts w:ascii="Calibri" w:hAnsi="Calibri"/>
          <w:b w:val="0"/>
          <w:color w:val="3A4A28"/>
          <w:sz w:val="20"/>
        </w:rPr>
        <w:t>FEEUM reached $40.7B ahead of schedule, with analysts projecting acceleration of fee-related earnings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acquisition could face regulatory delays or termination, removing the price floor and exposing weak near-term fundamentals [2]</w:t>
      </w:r>
    </w:p>
    <w:p>
      <w:pPr>
        <w:spacing w:before="40" w:after="40"/>
        <w:ind w:left="283"/>
      </w:pPr>
      <w:r>
        <w:rPr>
          <w:rFonts w:ascii="Calibri" w:hAnsi="Calibri"/>
          <w:b/>
          <w:color w:val="4A6B25"/>
          <w:sz w:val="20"/>
        </w:rPr>
        <w:t xml:space="preserve">2. </w:t>
      </w:r>
      <w:r>
        <w:rPr>
          <w:rFonts w:ascii="Calibri" w:hAnsi="Calibri"/>
          <w:b w:val="0"/>
          <w:color w:val="3A4A28"/>
          <w:sz w:val="20"/>
        </w:rPr>
        <w:t>Revenue declined 27.6% YoY and ROE is negative, reflecting ongoing portfolio optimization that may not reverse quickly [1]</w:t>
      </w:r>
    </w:p>
    <w:p>
      <w:pPr>
        <w:spacing w:before="40" w:after="40"/>
        <w:ind w:left="283"/>
      </w:pPr>
      <w:r>
        <w:rPr>
          <w:rFonts w:ascii="Calibri" w:hAnsi="Calibri"/>
          <w:b/>
          <w:color w:val="4A6B25"/>
          <w:sz w:val="20"/>
        </w:rPr>
        <w:t xml:space="preserve">3. </w:t>
      </w:r>
      <w:r>
        <w:rPr>
          <w:rFonts w:ascii="Calibri" w:hAnsi="Calibri"/>
          <w:b w:val="0"/>
          <w:color w:val="3A4A28"/>
          <w:sz w:val="20"/>
        </w:rPr>
        <w:t>Data center power constraints ('running out of power in 18-24 months') could slow the AI infrastructure buildout that underpins DigitalBridge's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DigitalBridge is AI infrastructure—the company invests in and operates the physical assets (data centers, fiber, towers) that AI systems depend on [2]. AI cannot displace data centers; it dramatically increases demand for them. Ganzi has stated that generative AI represents a '38GW opportunity' worth hundreds of billions for data center, fiber, and tower providers [2]. SoftBank's $4B acquisition specifically targets scaling 'next-gen AI infrastructure,' validating that the market views DigitalBridge as an AI enabler, not a target [2]. The Articul8 AI venture with Intel generates direct AI revenue. AI Risk Protection: 7 (AI increases demand for DBRG's core assets), AI Opportunity: 1 (Articul8 enterprise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DigitalBridge Group (DBRG) Key Statistics and Financials,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SoftBank Group Press Release — 'SoftBank to Acquire DigitalBridge for $4 Billion', December 2025</w:t>
      </w:r>
    </w:p>
    <w:p>
      <w:pPr>
        <w:spacing w:before="20" w:after="20"/>
        <w:ind w:left="170"/>
      </w:pPr>
      <w:r>
        <w:rPr>
          <w:rFonts w:ascii="Calibri" w:hAnsi="Calibri"/>
          <w:b/>
          <w:color w:val="4A6B25"/>
          <w:sz w:val="15"/>
        </w:rPr>
        <w:t xml:space="preserve">3. </w:t>
      </w:r>
      <w:r>
        <w:rPr>
          <w:rFonts w:ascii="Calibri" w:hAnsi="Calibri"/>
          <w:b w:val="0"/>
          <w:color w:val="3A4A28"/>
          <w:sz w:val="17"/>
        </w:rPr>
        <w:t>DigitalBridge 2021 ESG Report and Sustainalytics ESG Risk Rating,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