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DB</w:t>
      </w:r>
      <w:r>
        <w:rPr>
          <w:rFonts w:ascii="Calibri" w:hAnsi="Calibri"/>
          <w:b/>
          <w:color w:val="1A2010"/>
          <w:sz w:val="40"/>
        </w:rPr>
        <w:t xml:space="preserve">  Deutsche Bank Aktiengesellschaft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2026-04-08 · Inspire: -67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Banks - Regional · NYQ · Germany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Deutsche Bank is a major global bank providing investment banking, corporate banking, private banking, and asset management services. With 89,879 employees and operations worldwide, it is Germany's largest bank.</w:t>
      </w:r>
    </w:p>
    <w:p>
      <w:r>
        <w:rPr>
          <w:rFonts w:ascii="Calibri" w:hAnsi="Calibri"/>
          <w:b/>
          <w:color w:val="6E8450"/>
          <w:sz w:val="18"/>
        </w:rPr>
        <w:t>89,879 Employees · https://www.db.com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Revenue declined 18.8% YoY in USD terms partly from EUR/USD and restructuring. Earnings fell 39.8% [1]. AI Deployment (1/2): Deploying AI for risk management, trading analytics, and compliance. Market Share (2/2): Germany's largest bank with significant global investment banking presence. Pipeline (0/2): Restructuring completion. R&amp;D Intensity (1/1): Heavy technology investment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Banking mission serving the global economy. Community Impact (2/2): 89,879 employees globally with significant community presence and Deutsche Bank Foundation [1]. Retention (0/2): Recent layoffs complicate retention picture. Insider (1/2): Management equity exposure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DB shows attractive value metrics. Forward P/E of 5.59 is extremely cheap, profit margin of 8.3% is below target but improving [1]. ROE data reflects banking dynamics. Revenue growth was negative at -18.8% in USD terms but partly currency-driven. Dividend yield of 3.91% with 22.0% payout is sustainable and growing. Liquidity cleared at $103.8M daily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Deutsche Bank has survived 150+ years through world wars, financial crises, and multiple restructurings — demonstrating inherent endurance despite recent challenges.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Shallow cause (1→4): Banking mission is industry-standard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Low trust (0→2): Recent layoffs and scandals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Infinite (1→10): Acknowledges JPMorgan, Goldman Sachs strengths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Transformative (2→10): Multiple restructurings from universal bank to focused model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standout (0→2)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Deutsche Bank trades at just 5.59x forward earnings with 3.91% dividend yield growing at 20% 5yr CAGR — deep value for Germany's largest bank [1]. 150+ year history and ongoing restructuring into a more focused, profitable institution. Profit margin of 22.2% and 89,879 employees provide significant global scale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Revenue declined 18.8% in USD terms, earnings fell 39.8%, and the bank has a long history of scandals, fines, and restructuring charges [1]. European banking faces structural headwinds from low rates and regulatory burden. Currency translation risk for USD-denominated ADR holders. Trust has been eroded by multiple compliance failures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Restructuring completion improving profitability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Dividend growth from 22% payout ratio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European banking recovery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Revenue decline and earnings compression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History of compliance failures and regulatory fines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European banking structural headwinds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Banking faces moderate AI exposure — AI trading systems, robo-advisors, and automated compliance could pressure traditional banking revenue [1]. However, relationship banking, complex transactions, and regulatory moats provide protection. AI Opportunity (1/1): AI-driven trading, risk management, and compliance optimization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DB (Deutsche Bank),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