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DCH</w:t>
      </w:r>
      <w:r>
        <w:rPr>
          <w:rFonts w:ascii="Calibri" w:hAnsi="Calibri"/>
          <w:b/>
          <w:color w:val="1A2010"/>
          <w:sz w:val="40"/>
        </w:rPr>
        <w:t xml:space="preserve">  Dauch Corporation</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Dauch Corporation (formerly American Axle &amp; Manufacturing) designs, engineers, and manufactures driveline and metal forming technologies for electric, hybrid, and internal combustion vehicles. Following its February 2026 acquisition of Dowlais Group (GKN Automotive and GKN Powder Metallurgy), the company operates 175+ facilities across 24 countries.</w:t>
      </w:r>
    </w:p>
    <w:p>
      <w:r>
        <w:rPr>
          <w:rFonts w:ascii="Calibri" w:hAnsi="Calibri"/>
          <w:b/>
          <w:color w:val="6E8450"/>
          <w:sz w:val="18"/>
        </w:rPr>
        <w:t>18,000 Employees · https://www.dauch.com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February 2026 acquisition of Dowlais Group (GKN Automotive + GKN Powder Metallurgy) is a transformative deal that approximately doubles the company's scale and creates a unified global driveline supplier operating in 24 countries [1]. The name change from American Axle to Dauch Corporation signals a strategic reinvention. AI Deployment (0/2): No evidence of AI-powered products or quantified AI-driven efficiency gains. The company discloses standard IT/cyber risks but has no visible AI strategy [2]. Market Share (1/2): With 175+ facilities globally and the combined Dowlais portfolio, Dauch is now a major player in the global driveline market, though it competes against larger Tier 1 suppliers like Dana and BorgWarner [1]. Pipeline (1/2): The company has invested $650M+ in R&amp;D over five years to develop EV and hybrid driveline products, electric drive units, and lightweighting technologies [3]. Integration of GKN Automotive's eDrive technology expands the EV product pipeline. R&amp;D Intensity (1/1): R&amp;D investment exceeding $650M over five years is significant for an auto parts manufacturer, with the majority directed toward electrification and sustainability technologies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Dauch Corporation's purpose is to 'deliver power that moves the world' — a generic industrial tagline interchangeable with any automotive supplier. It does not articulate a deeper purpose beyond engineering products. Community Impact (0/2): No evidence of distinctive charitable programs, community investment, or foundation activity beyond standard corporate responsibility disclosures. Employee Retention (0/2): No publicly available data on employee retention, tenure, or cultural satisfaction metrics. The company has 18,000 employees across global manufacturing facilities with no visible culture awards or employee sentiment data. Insider Buying (0/2): No evidence of meaningful insider buying by CEO David Dauch or other executives in the last 12 months; insider transaction data shows only standard compensation-related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Dauch's balance sheet is heavily strained by the Dowlais acquisition. D/E of 664.4% far exceeds the 300% floor, reflecting massive acquisition-related debt [4]. ROE of -3.28% and profit margin of -0.34% indicate the company was unprofitable in 2025, posting a net loss of $19.7M compared to $35M net income in 2024 [1]. Revenue was essentially flat at $5.84B (down from $6.12B in 2024 on a standalone basis). The bright spot is a deeply discounted forward P/E of 5.7x, suggesting the market prices in significant near-term earnings recovery from the combined entity [4]. Full-year 2025 adjusted EBITDA margin of 12.2% in Q4 shows the core business generates cash ($455.4M operating cash flow, $230.3M adjusted FCF in 2024) despite the net loss [1]. Liquidity floor cleared: 6.9M avg volume x $5.61 = $38.8M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Dauch Corporation under CEO David Dauch shows elements of infinite game thinking — the bold Dowlais acquisition and pivot toward electrification demonstrate willingness to transform for the future. However, the company's identity remains tied to automotive manufacturing cycles, and there is little evidence of a transcendent purpose beyond engineering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Dauch's cause — powering vehicle mobility through driveline innovation — is real but shallow by Sinek's standard [1]. The pivot to electrification shows forward-looking intent, and the SBTi-validated net-zero 2040 commitment adds purpose dimension [3]. However, the cause has not been tested through crisis (the company posted a net loss in 2025), and it does not articulate a future state that inspires sacrifice. It is a well-run industrial mission,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board is noted for diversity and inclusive governance practices [2]. CEO David Dauch has led since 2012, providing leadership stability over 14 years. However, no employee sentiment data, culture awards, or retention metrics are publicly available. The 18,000-employee global manufacturing workforce operates across 175+ facilities, making cultural consistency a challenge. No evidence of exceptional trust or fear-based management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Dauch management citing competitors' strengths or framing rivalry as motivation for self-improvement. The Dowlais acquisition is positioned as a scale play to compete against larger Tier 1 suppliers like Dana and BorgWarner — an expansion mindset focused on size rather than learning from rivals'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Dowlais acquisition and rename from American Axle to Dauch Corporation represents meaningful existential flexibility — the company is betting its future on becoming a diversified global driveline supplier with strong EV capabilities [1]. The $650M+ R&amp;D investment in electrification shows willingness to evolve the product portfolio. However, the core business model (Tier 1 auto supplier) remains unchanged; the pivot is within automotive, not away from 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Dowlais acquisition is a genuinely courageous bet — Dauch Corporation more than doubled its facility count and global footprint while taking on massive debt (664% D/E) during a period of automotive market uncertainty [1]. CEO David Dauch renamed the company after his family, staking personal reputation on the transformation. The $650M+ R&amp;D commitment to electrification when ICE vehicles still dominate revenue shows long-term conviction over short-term optimization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Dauch Corporation trades at a deeply discounted 5.7x forward P/E following the transformative February 2026 acquisition of Dowlais Group (GKN Automotive + GKN Powder Metallurgy), which creates a global driveline powerhouse with 175+ facilities across 24 countries [1]. The combined entity generated $1.38B in Q4 2025 revenue with 12.2% adjusted EBITDA margins, and the acquisition provides significant synergy potential through scale, geographic diversification, and a combined EV product portfolio including GKN's eDrive technology [1]. CEO David Dauch has led the company for 14 years and staked his reputation on this transformation, renaming the company after his family. If integration proceeds smoothly and synergies materialize, the stock could rerate significantly from its current $1.3B market cap.</w:t>
      </w:r>
    </w:p>
    <w:p>
      <w:pPr>
        <w:spacing w:after="120"/>
      </w:pPr>
      <w:r>
        <w:rPr>
          <w:rFonts w:ascii="Calibri" w:hAnsi="Calibri"/>
          <w:b w:val="0"/>
          <w:color w:val="3A4A28"/>
          <w:sz w:val="20"/>
        </w:rPr>
        <w:t>The bear case is severe: D/E of 664% reflects a dangerously leveraged balance sheet that leaves no margin for error during integration [4]. The company posted a $19.7M net loss in 2025 compared to $35M net income in 2024, and profit margins turned negative at -0.34% [1]. Free cash flow was deeply negative at -$1.24B in the trailing period, likely driven by acquisition costs. Revenue has been essentially flat for three years on a standalone basis ($5.8B in both 2022 and 2025), and the auto parts industry faces cyclical headwinds from potential tariffs, OEM production cuts, and the uncertain pace of EV adoption. Integrating a company of Dowlais's size across 24 countries while servicing massive debt creates significant execution risk. If auto demand softens or synergies disappoint, the debt load could become unsustainable, putting equity value at serious risk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Dowlais integration synergies — combining AAM and GKN driveline operations across 175+ facilities could unlock material cost savings and cross-selling opportunities [1]</w:t>
      </w:r>
    </w:p>
    <w:p>
      <w:pPr>
        <w:spacing w:before="40" w:after="40"/>
        <w:ind w:left="283"/>
      </w:pPr>
      <w:r>
        <w:rPr>
          <w:rFonts w:ascii="Calibri" w:hAnsi="Calibri"/>
          <w:b/>
          <w:color w:val="4A6B25"/>
          <w:sz w:val="20"/>
        </w:rPr>
        <w:t xml:space="preserve">2. </w:t>
      </w:r>
      <w:r>
        <w:rPr>
          <w:rFonts w:ascii="Calibri" w:hAnsi="Calibri"/>
          <w:b w:val="0"/>
          <w:color w:val="3A4A28"/>
          <w:sz w:val="20"/>
        </w:rPr>
        <w:t>EV driveline product portfolio expansion — GKN's eDrive technology combined with AAM's electric drive units positions the combined entity for accelerating EV adoption [3]</w:t>
      </w:r>
    </w:p>
    <w:p>
      <w:pPr>
        <w:spacing w:before="40" w:after="40"/>
        <w:ind w:left="283"/>
      </w:pPr>
      <w:r>
        <w:rPr>
          <w:rFonts w:ascii="Calibri" w:hAnsi="Calibri"/>
          <w:b/>
          <w:color w:val="4A6B25"/>
          <w:sz w:val="20"/>
        </w:rPr>
        <w:t xml:space="preserve">3. </w:t>
      </w:r>
      <w:r>
        <w:rPr>
          <w:rFonts w:ascii="Calibri" w:hAnsi="Calibri"/>
          <w:b w:val="0"/>
          <w:color w:val="3A4A28"/>
          <w:sz w:val="20"/>
        </w:rPr>
        <w:t>Earnings recovery to profitability — forward P/E of 5.7x implies market expects significant earnings improvement from the combined entity in 2026-2027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664% D/E — integration must succeed to service the debt load; any cyclical downturn or synergy shortfall could threaten solvency [4]</w:t>
      </w:r>
    </w:p>
    <w:p>
      <w:pPr>
        <w:spacing w:before="40" w:after="40"/>
        <w:ind w:left="283"/>
      </w:pPr>
      <w:r>
        <w:rPr>
          <w:rFonts w:ascii="Calibri" w:hAnsi="Calibri"/>
          <w:b/>
          <w:color w:val="4A6B25"/>
          <w:sz w:val="20"/>
        </w:rPr>
        <w:t xml:space="preserve">2. </w:t>
      </w:r>
      <w:r>
        <w:rPr>
          <w:rFonts w:ascii="Calibri" w:hAnsi="Calibri"/>
          <w:b w:val="0"/>
          <w:color w:val="3A4A28"/>
          <w:sz w:val="20"/>
        </w:rPr>
        <w:t>Net loss of $19.7M in 2025 with negative free cash flow of $1.24B — the company is consuming cash during a critical integration period [1]</w:t>
      </w:r>
    </w:p>
    <w:p>
      <w:pPr>
        <w:spacing w:before="40" w:after="40"/>
        <w:ind w:left="283"/>
      </w:pPr>
      <w:r>
        <w:rPr>
          <w:rFonts w:ascii="Calibri" w:hAnsi="Calibri"/>
          <w:b/>
          <w:color w:val="4A6B25"/>
          <w:sz w:val="20"/>
        </w:rPr>
        <w:t xml:space="preserve">3. </w:t>
      </w:r>
      <w:r>
        <w:rPr>
          <w:rFonts w:ascii="Calibri" w:hAnsi="Calibri"/>
          <w:b w:val="0"/>
          <w:color w:val="3A4A28"/>
          <w:sz w:val="20"/>
        </w:rPr>
        <w:t>Automotive cyclical exposure — tariff uncertainty, OEM production cuts, and the uneven pace of ICE-to-EV transition create demand volatility for Dauch's driveline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Dauch Corporation manufactures physical driveline components — axles, driveshafts, differential assemblies, electric drive units — that AI structurally cannot replace. These products require precision engineering, metallurgy, and physical manufacturing that exist entirely outside AI's substitution domain [1]. The automotive supply chain is deeply embedded with OEM qualification requirements, multi-year contracts, and physical tooling investments that create barriers AI cannot bypass. As EV adoption accelerates, demand for Dauch's electric driveline products may actually increase [3]. AI Opportunity (0/1): No evidence of AI-generated revenue or AI-powered products. The company's R&amp;D focus is on electrification and lightweighting rather than artificial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Investing.com — Dauch Corporation Q4 and Full-Year 2025 results, February 2026; AAM Q4 2024 earnings release</w:t>
      </w:r>
    </w:p>
    <w:p>
      <w:pPr>
        <w:spacing w:before="20" w:after="20"/>
        <w:ind w:left="170"/>
      </w:pPr>
      <w:r>
        <w:rPr>
          <w:rFonts w:ascii="Calibri" w:hAnsi="Calibri"/>
          <w:b/>
          <w:color w:val="4A6B25"/>
          <w:sz w:val="15"/>
        </w:rPr>
        <w:t xml:space="preserve">2. </w:t>
      </w:r>
      <w:r>
        <w:rPr>
          <w:rFonts w:ascii="Calibri" w:hAnsi="Calibri"/>
          <w:b w:val="0"/>
          <w:color w:val="3A4A28"/>
          <w:sz w:val="17"/>
        </w:rPr>
        <w:t>PR Newswire, Investing.com — Dauch Corporation acquisition of Dowlais Group, name change, CEO David Dauch leadership profile, January-February 2026</w:t>
      </w:r>
    </w:p>
    <w:p>
      <w:pPr>
        <w:spacing w:before="20" w:after="20"/>
        <w:ind w:left="170"/>
      </w:pPr>
      <w:r>
        <w:rPr>
          <w:rFonts w:ascii="Calibri" w:hAnsi="Calibri"/>
          <w:b/>
          <w:color w:val="4A6B25"/>
          <w:sz w:val="15"/>
        </w:rPr>
        <w:t xml:space="preserve">3. </w:t>
      </w:r>
      <w:r>
        <w:rPr>
          <w:rFonts w:ascii="Calibri" w:hAnsi="Calibri"/>
          <w:b w:val="0"/>
          <w:color w:val="3A4A28"/>
          <w:sz w:val="17"/>
        </w:rPr>
        <w:t>AAM Sustainability Report — $650M+ R&amp;D investment, SBTi-validated net-zero 2040 targets, AIAG supply chain sustainability partnerships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DCH (Dauch Corporation),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