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DC</w:t>
      </w:r>
      <w:r>
        <w:rPr>
          <w:rFonts w:ascii="Calibri" w:hAnsi="Calibri"/>
          <w:b/>
          <w:color w:val="1A2010"/>
          <w:sz w:val="40"/>
        </w:rPr>
        <w:t xml:space="preserve">  Dakota Gold Corp.</w:t>
      </w:r>
    </w:p>
    <w:p>
      <w:pPr>
        <w:spacing w:after="120"/>
      </w:pPr>
      <w:r>
        <w:rPr>
          <w:rFonts w:ascii="Calibri" w:hAnsi="Calibri"/>
          <w:b/>
          <w:color w:val="6E8450"/>
          <w:sz w:val="18"/>
        </w:rPr>
        <w:t>GROWTH SLEEVE · 2026-04-21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United States</w:t>
      </w:r>
    </w:p>
    <w:p>
      <w:pPr>
        <w:spacing w:after="80"/>
      </w:pPr>
      <w:r>
        <w:rPr>
          <w:rFonts w:ascii="Calibri" w:hAnsi="Calibri"/>
          <w:b w:val="0"/>
          <w:color w:val="3A4A28"/>
          <w:sz w:val="20"/>
        </w:rPr>
        <w:t>Dakota Gold Corp. is a gold exploration and development company focused on acquiring and advancing mineral properties in the historic Homestake District of Lead, South Dakota. The company holds 100% interests in multiple mineral projects covering approximately 49,260 acres, including the Richmond Hill Heap Leach Gold Project which is transitioning toward production.</w:t>
      </w:r>
    </w:p>
    <w:p>
      <w:r>
        <w:rPr>
          <w:rFonts w:ascii="Calibri" w:hAnsi="Calibri"/>
          <w:b/>
          <w:color w:val="6E8450"/>
          <w:sz w:val="18"/>
        </w:rPr>
        <w:t>41 Employees · https://www.dakotagoldcorp.com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Dakota Gold's primary achievement has been assembling a significant land package (49,260 acres, 2,086 unpatented claims) in the Homestake District and advancing the Richmond Hill project toward production — important for a junior miner but not a transformative innovation [1]. AI Deployment (0/2): No AI deployment in exploration, drilling, or geological modeling evident; the company uses traditional exploration methods [2]. Market Share (0/2): DC is a pre-production junior gold explorer with zero revenue and no market share in gold production; the company's value is entirely in its resource base [1]. Pipeline (2/2): Clear near-term production catalyst with Richmond Hill Heap Leach transitioning to production, supported by leadership additions (Jack Henris as President/COO effective June 2025) specifically to manage the exploration-to-production transition [2]. R&amp;D Intensity (0/1): Exploration spending is the company's primary activity, but total investment is modest relative to major gold explorers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Dakota Gold's mission centers on 'responsible gold exploration and development' with a focus on revitalizing the historic Homestake District in Lead, South Dakota — specific to a place and community, which is more intentional than generic mining missions [2]. Community &amp; Charitable Impact (1/2): The company emphasizes contributing to local economic development in Lead, South Dakota, and published its inaugural ESG report in 2021 and a 2024 Sustainability Report, reporting zero reportable environmental incidents since drilling commenced in 2022 [3]. Employee Retention (0/2): With only 41 employees and significant recent leadership transitions, meaningful retention data is unavailable [2]. Insider Buying (1/2): Dr. Quartermain (Co-Chairman/CEO) has significant equity exposure as a company founder, and the leadership expansion suggests confidence in the project's trajectory, though specific open-market insider purchases were not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avg_daily_volume (1,861,100) x stock_price ($6.14) = $11,427,154 — clears the $1M floor. DC is a pre-revenue gold explorer with no earnings: negative ROE of -28.9%, zero profit margin, EPS of -$0.27, and a negative forward P/E of -22.7 [4]. The company has minimal debt ($206K) against $29.7M cash, providing ~1 year of runway at current $25.4M annual burn rate. Mechanical calculation (Growth stock, available metrics only): D/E 0.18% → 1.0 (1x), ROE -28.9% → 0.0 (2x), Profit Margin 0% → 0.0 (1x). Forward P/E negative and PEG null are excluded. Revenue growth metrics null, excluded. Weighted sum: 1.0 / max 4.0 = 0.25 × 10 = 2.5, rounded to 3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Dakota Gold is a purpose-built exploration-to-production vehicle focused on extracting gold from the Homestake District — a fundamentally finite game tied to a depleting resource. The company's strategy is to discover, develop, and mine gold deposits, and its success or failure is measured by whether it achieves commercial production. The emphasis on revitalizing a historic mining district adds a community dimension, but the business model is inherently extractive.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Dakota Gold's cause — revitalizing the historic Homestake District in Lead, South Dakota through responsible gold exploration — connects the company's work to a specific community and place, which gives it more depth than 'we mine gold' [2]. Dr. Quartermain's Canadian Mining Hall of Fame induction (2022) and 25-year career leading Silver Standard Resources suggest genuine passion for mining. However, the cause is tied to a specific resource that will eventually deplete. Score: 1 point (cause exists but is constrained).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41 employees and significant leadership transitions (Jack Henris appointed President/COO, new board additions), the team is in formation rather than established [2]. The company is transitioning from exploration to development/production, requiring entirely new operational capabilities. No evidence of exceptional trust or organizational stability. Score: 0 points (organizational instability from transition phase).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Dakota Gold operates in the Homestake District where Homestake Mining (now part of Barrick Gold) operated one of the world's most productive gold mines for 126 years. The company's strategy implicitly acknowledges this historical rival by seeking to apply modern techniques to the same geological formations [1]. Score: 0 points (finite competitive mindset focused on claim staking).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Dakota Gold was incorporated in 2017 with a singular focus on gold in South Dakota's Black Hills — the company has not faced a strategic pivot or demonstrated flexibility because it has only pursued one strategy [1]. The transition from exploration to production represents an operational evolution, not an existential pivot. Score: 0 points (too young and focused to have demonstrated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advance Richmond Hill toward production represents a significant commitment for a 41-person company, requiring capital investment and operational capability building [2]. Publishing ESG reports and maintaining zero environmental incidents since 2022 shows principled approach to responsible mining.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Dakota Gold offers leveraged exposure to gold prices through its 49,260-acre land position in the historic Homestake District, where 40+ million ounces of gold were produced over 126 years of mining [1]. The near-term catalyst is the Richmond Hill Heap Leach project transitioning from exploration to production under newly appointed President/COO Jack Henris, with virtually zero debt ($206K), experienced leadership (CEO Dr. Quartermain, Canadian Mining Hall of Fame 2022), and a clean ESG record [2]. Analyst consensus is 'Strong Buy' with a $9.58 price target, representing ~56% upside from the current $6.14 [4]. The stock's $820M market cap provides optionality on multiple exploration targets across the Homestake District.</w:t>
      </w:r>
    </w:p>
    <w:p>
      <w:pPr>
        <w:spacing w:after="120"/>
      </w:pPr>
      <w:r>
        <w:rPr>
          <w:rFonts w:ascii="Calibri" w:hAnsi="Calibri"/>
          <w:b w:val="0"/>
          <w:color w:val="3A4A28"/>
          <w:sz w:val="20"/>
        </w:rPr>
        <w:t>The bear case is straightforward: Dakota Gold is a pre-revenue gold explorer burning $25.4M annually with only $29.7M cash, creating imminent dilution risk from future capital raises needed to fund production development [4]. The company has produced zero gold, zero revenue, and generates only losses (-$0.27 EPS TTM). Richmond Hill's transition to production carries significant execution risk — heap leach operations require permitting, water management, and processing infrastructure that could face delays or cost overruns. The stock at $6.14 prices in significant production success; if gold prices retreat from $4,500+ levels or production timelines slip, the downside is severe given the negative earnings profile [4]. The 41-employee company lacks the operational depth to manage production challenges, and the sole focus on South Dakota creates geographic concentration risk in a single mining district.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Richmond Hill Heap Leach Gold Project achieving first production, transforming DC from an explorer to a producer and validating the Homestake District thesis [2]</w:t>
      </w:r>
    </w:p>
    <w:p>
      <w:pPr>
        <w:spacing w:before="40" w:after="40"/>
        <w:ind w:left="283"/>
      </w:pPr>
      <w:r>
        <w:rPr>
          <w:rFonts w:ascii="Calibri" w:hAnsi="Calibri"/>
          <w:b/>
          <w:color w:val="4A6B25"/>
          <w:sz w:val="20"/>
        </w:rPr>
        <w:t xml:space="preserve">2. </w:t>
      </w:r>
      <w:r>
        <w:rPr>
          <w:rFonts w:ascii="Calibri" w:hAnsi="Calibri"/>
          <w:b w:val="0"/>
          <w:color w:val="3A4A28"/>
          <w:sz w:val="20"/>
        </w:rPr>
        <w:t>Gold prices remaining above $4,500/oz would accelerate the economic viability of DC's exploration properties and attract partnership/acquisition interest from major miners [1]</w:t>
      </w:r>
    </w:p>
    <w:p>
      <w:pPr>
        <w:spacing w:before="40" w:after="40"/>
        <w:ind w:left="283"/>
      </w:pPr>
      <w:r>
        <w:rPr>
          <w:rFonts w:ascii="Calibri" w:hAnsi="Calibri"/>
          <w:b/>
          <w:color w:val="4A6B25"/>
          <w:sz w:val="20"/>
        </w:rPr>
        <w:t xml:space="preserve">3. </w:t>
      </w:r>
      <w:r>
        <w:rPr>
          <w:rFonts w:ascii="Calibri" w:hAnsi="Calibri"/>
          <w:b w:val="0"/>
          <w:color w:val="3A4A28"/>
          <w:sz w:val="20"/>
        </w:rPr>
        <w:t>Additional exploration results from Blind Gold, City Creek, and other properties in the 49,260-acre portfolio could expand the resource base and support higher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$29.7M cash against $25.4M annual burn rate requires near-term capital raise that would dilute shareholders, particularly if gold prices weaken [4]</w:t>
      </w:r>
    </w:p>
    <w:p>
      <w:pPr>
        <w:spacing w:before="40" w:after="40"/>
        <w:ind w:left="283"/>
      </w:pPr>
      <w:r>
        <w:rPr>
          <w:rFonts w:ascii="Calibri" w:hAnsi="Calibri"/>
          <w:b/>
          <w:color w:val="4A6B25"/>
          <w:sz w:val="20"/>
        </w:rPr>
        <w:t xml:space="preserve">2. </w:t>
      </w:r>
      <w:r>
        <w:rPr>
          <w:rFonts w:ascii="Calibri" w:hAnsi="Calibri"/>
          <w:b w:val="0"/>
          <w:color w:val="3A4A28"/>
          <w:sz w:val="20"/>
        </w:rPr>
        <w:t>Richmond Hill production execution risk — transitioning from exploration to heap leach production involves permitting, water management, and processing challenges that could delay revenue generation [2]</w:t>
      </w:r>
    </w:p>
    <w:p>
      <w:pPr>
        <w:spacing w:before="40" w:after="40"/>
        <w:ind w:left="283"/>
      </w:pPr>
      <w:r>
        <w:rPr>
          <w:rFonts w:ascii="Calibri" w:hAnsi="Calibri"/>
          <w:b/>
          <w:color w:val="4A6B25"/>
          <w:sz w:val="20"/>
        </w:rPr>
        <w:t xml:space="preserve">3. </w:t>
      </w:r>
      <w:r>
        <w:rPr>
          <w:rFonts w:ascii="Calibri" w:hAnsi="Calibri"/>
          <w:b w:val="0"/>
          <w:color w:val="3A4A28"/>
          <w:sz w:val="20"/>
        </w:rPr>
        <w:t>Single-district geographic concentration — all assets are in South Dakota's Homestake District, creating regulatory, geological, and operational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and exploration is a physical-world operation that AI structurally cannot displace — extracting gold from underground deposits in South Dakota's Black Hills requires drilling, heap leaching, and heavy equipment operation [1]. Dakota Gold's core value proposition (mineral rights, geological resource base, mining permits, social license) is entirely immune to AI substitution. The gold itself is a store-of-value asset whose demand is driven by macroeconomic factors, not technology disruption. AI may increase demand for gold as a hedge against AI-driven economic uncertainty [2]. AI Opportunity (0/1): DC does not generate AI-related revenue and has not deployed AI in its exploration or development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Dakota Gold Corp. website — project overview, Homestake District history, exploration property portfolio (49,260 acres, 2,086 claims)</w:t>
      </w:r>
    </w:p>
    <w:p>
      <w:pPr>
        <w:spacing w:before="20" w:after="20"/>
        <w:ind w:left="170"/>
      </w:pPr>
      <w:r>
        <w:rPr>
          <w:rFonts w:ascii="Calibri" w:hAnsi="Calibri"/>
          <w:b/>
          <w:color w:val="4A6B25"/>
          <w:sz w:val="15"/>
        </w:rPr>
        <w:t xml:space="preserve">2. </w:t>
      </w:r>
      <w:r>
        <w:rPr>
          <w:rFonts w:ascii="Calibri" w:hAnsi="Calibri"/>
          <w:b w:val="0"/>
          <w:color w:val="3A4A28"/>
          <w:sz w:val="17"/>
        </w:rPr>
        <w:t>Dakota Gold Corp. press releases — leadership transition (Jack Henris as President/COO, June 2025), board additions, Dr. Quartermain CEO biography</w:t>
      </w:r>
    </w:p>
    <w:p>
      <w:pPr>
        <w:spacing w:before="20" w:after="20"/>
        <w:ind w:left="170"/>
      </w:pPr>
      <w:r>
        <w:rPr>
          <w:rFonts w:ascii="Calibri" w:hAnsi="Calibri"/>
          <w:b/>
          <w:color w:val="4A6B25"/>
          <w:sz w:val="15"/>
        </w:rPr>
        <w:t xml:space="preserve">3. </w:t>
      </w:r>
      <w:r>
        <w:rPr>
          <w:rFonts w:ascii="Calibri" w:hAnsi="Calibri"/>
          <w:b w:val="0"/>
          <w:color w:val="3A4A28"/>
          <w:sz w:val="17"/>
        </w:rPr>
        <w:t>Dakota Gold Corp. ESG Reports (2021 inaugural, 2024 Sustainability Report) — zero environmental incidents, community engagement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DC (Dakota Gold Corp.), retrieved April 2026; StockAnalysis.com — analyst consensus Strong Buy, $9.58 target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