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DD</w:t>
      </w:r>
      <w:r>
        <w:rPr>
          <w:rFonts w:ascii="Calibri" w:hAnsi="Calibri"/>
          <w:b/>
          <w:color w:val="1A2010"/>
          <w:sz w:val="40"/>
        </w:rPr>
        <w:t xml:space="preserve">  DuPont de Nemours, Inc.</w:t>
      </w:r>
    </w:p>
    <w:p>
      <w:pPr>
        <w:spacing w:after="120"/>
      </w:pPr>
      <w:r>
        <w:rPr>
          <w:rFonts w:ascii="Calibri" w:hAnsi="Calibri"/>
          <w:b/>
          <w:color w:val="6E8450"/>
          <w:sz w:val="18"/>
        </w:rPr>
        <w:t>GROWTH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DuPont de Nemours provides technology-based materials and solutions across two segments: Healthcare &amp; Water Technologies (water filtration, medical device components) and Diversified Industrials (construction materials, engineered products, adhesives). Following the 2019 DowDuPont split and 2025 Electronics separation (Qnity), DuPont is focused on healthcare, water, and industrial applications.</w:t>
      </w:r>
    </w:p>
    <w:p>
      <w:r>
        <w:rPr>
          <w:rFonts w:ascii="Calibri" w:hAnsi="Calibri"/>
          <w:b/>
          <w:color w:val="6E8450"/>
          <w:sz w:val="18"/>
        </w:rPr>
        <w:t>15,000 Employees · https://www.dupont.com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DuPont completed a significant portfolio transformation in 2025, separating its Electronics business (now Qnity) and divesting the Aramids business for $1.2B, refocusing on higher-growth healthcare and water technology markets [1]. The Healthcare &amp; Water segment grew 4% in Q4 2025 with 5% organic growth adjusted for order timing [1]. AI Deployment (0/2): No evidence of AI-powered products shipping to customers or quantified internal AI-driven savings; DuPont's innovation focus remains on materials science rather than AI [2]. Market Share (1/2): DuPont holds leading positions in water filtration (FILMTEC, INGE) and specialty medical device materials, and won Samsung's 2024 Best Partner Award for Innovation in advanced semiconductor materials [2]. Pipeline (1/2): Medium-term targets of 3-4% organic revenue CAGR with Healthcare &amp; Water expected to grow mid-single digits; specific product launches are not publicly detailed beyond continuation of water and healthcare technology development [1]. R&amp;D Intensity (1/1): DuPont maintains above-industry-average R&amp;D spending with a dedicated CTSO role linking sustainability to innovation, and a 200+ year heritage of materials science breakthroughs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DuPont describes itself as a 'global innovation leader with technology-based materials and solutions that help transform industries and everyday life,' which is clear but not distinctive — it could describe any specialty chemicals company [2]. Community Impact (1/2): DuPont publishes an annual sustainability report and maintains environmental stewardship programs, though the company's PFAS legacy undermines community trust. DuPont employs 15,000 and contributes to local economies [3]. Employee Retention (1/2): Stable leadership under CEO Lori Koch, who was promoted from CFO, suggesting internal talent development. The 15,000-employee workforce is stable post-restructuring, though no specific retention metrics are publicly available [2]. Insider Buying (0/2): Insiders hold only 0.28% of shares with no evidence of meaningful net insider buying in the last 12 months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DuPont's balance sheet is conservatively managed with D/E of 24.5% and $715M cash against $3.45B debt [1]. However, trailing ROE is just 0.52% due to restructuring charges and PFAS settlement costs that depressed 2025 net income to $57M on $6.85B revenue [1]. Forward P/E of 18.0x is attractive for the specialty chemicals sector, and 2026 guidance of $2.25-$2.30 adjusted EPS represents significant improvement [1]. Revenue grew only 2% in 2025 with 3% organic growth guided for 2026. Profit margin was -11.4% on a GAAP basis due to one-time charges, though operating EBITDA margin of 22.1% shows underlying business quality [1]. The $2B buyback authorization and Aramids divestiture proceeds strengthen capital return capacity. Liquidity easily cleared: 4.77M avg vol x $45.80 = $218M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DuPont has a 200+ year legacy of innovation but its recent history is marked by serial restructuring — the DowDuPont merger-and-split, the Electronics separation, and the Aramids divestiture — suggesting a company that optimizes its portfolio for financial engineering rather than a consistent Just Cause. Under CEO Lori Koch, the company is stabilizing around healthcare and water technology, which carry more infinite-game characteristics, but the PFAS legacy and frequent strategy shifts weaken the endurance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DuPont's mission to 'transform industries and everyday life' through materials science has genuine depth rooted in 200+ years of innovation heritage, but the serial restructuring (DowDuPont split, Electronics spinoff, Aramids sale) makes the cause feel subordinate to portfolio optimization [2]. The refocus on healthcare and water technology suggests a more purposeful direction — clean water and medical innovation are cause-worthy — but it's too early to call this validated by consistent execution.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Lori Koch's promotion from CFO signals internal talent development and succession planning [2]. The company has maintained organizational stability through multiple restructurings, which requires trust between leadership and employees. However, headcount reductions from restructuring (15,000 employees post-separation) and the PFAS liability overhang create uncertainty that likely erodes psychological safety in some areas.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DuPont's competitive language focuses on market positioning and portfolio optimization rather than learning from rivals [2]. The company frames competition in terms of segment leadership and margin expansion. The Samsung innovation award suggests collaborative customer relationships, but no evidence of management acknowledging specific competitors' strengths as motivation for self-improvement.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DuPont has demonstrated significant portfolio flexibility — the DowDuPont merger-split, the Electronics separation into Qnity, and the Aramids divestiture represent dramatic strategic shifts [1]. However, these pivots appear driven by financial engineering and activist investor pressure rather than service to a Just Cause. The refocus on healthcare and water technology is strategically sound but incrementally arrived at through subtraction rather than transformative vision.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separate the Electronics business and divest Aramids required leadership courage, as these were profitable segments being shed to sharpen focus [1]. CEO Koch's commitment to the $2B buyback while investing in Healthcare &amp; Water growth shows balanced capital allocation. However, the $2.5B PFAS settlement with New Jersey and ongoing litigation costs reflect past leadership failures that current management inherited rather than chose [3].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DuPont is emerging as a focused specialty materials company after years of restructuring, with 2026 guidance of $7.08-$7.14B revenue and $2.25-$2.30 adjusted EPS representing meaningful recovery from the restructuring-depressed 2025 base [1]. The Healthcare &amp; Water Technologies segment offers mid-single-digit growth in structurally attractive markets — water scarcity drives filtration demand and aging demographics support medical devices. At 18.0x forward P/E with 8-10% medium-term EPS CAGR guidance, the valuation is reasonable for a specialty chemicals company with improving margins (60-80bps EBITDA margin expansion guided for 2026) and &gt;90% FCF conversion [1]. The $2B buyback authorization and $1.2B Aramids divestiture proceeds provide near-term capital return support.</w:t>
      </w:r>
    </w:p>
    <w:p>
      <w:pPr>
        <w:spacing w:after="120"/>
      </w:pPr>
      <w:r>
        <w:rPr>
          <w:rFonts w:ascii="Calibri" w:hAnsi="Calibri"/>
          <w:b w:val="0"/>
          <w:color w:val="3A4A28"/>
          <w:sz w:val="20"/>
        </w:rPr>
        <w:t>The bear case centers on execution risk and legacy liabilities. DuPont's PFAS litigation exposure remains a material overhang — the $2.5B New Jersey settlement, $1.185B public water system settlement, and ongoing state AG lawsuits from Texas and North Carolina could produce additional billions in liabilities [3]. Organic growth of only 2-3% is modest for a company trading at 18x forward earnings, and the Diversified Industrials segment faces cyclical headwinds with low-single-digit growth expectations. GAAP profitability in 2025 was razor-thin ($57M net income on $6.85B revenue) due to restructuring charges, and the transition to forward estimates requires faith in management's execution. Revenue missed Q4 consensus by 2.6%, suggesting demand softness. The stock has risen 40% over the past year, pricing in much of the turnaround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adjusted EPS of $2.25-$2.30 represents a major step-up from the restructuring-depressed 2025 base of $1.68, with 60-80bps of EBITDA margin expansion guided [1]</w:t>
      </w:r>
    </w:p>
    <w:p>
      <w:pPr>
        <w:spacing w:before="40" w:after="40"/>
        <w:ind w:left="283"/>
      </w:pPr>
      <w:r>
        <w:rPr>
          <w:rFonts w:ascii="Calibri" w:hAnsi="Calibri"/>
          <w:b/>
          <w:color w:val="4A6B25"/>
          <w:sz w:val="20"/>
        </w:rPr>
        <w:t xml:space="preserve">2. </w:t>
      </w:r>
      <w:r>
        <w:rPr>
          <w:rFonts w:ascii="Calibri" w:hAnsi="Calibri"/>
          <w:b w:val="0"/>
          <w:color w:val="3A4A28"/>
          <w:sz w:val="20"/>
        </w:rPr>
        <w:t>Healthcare &amp; Water Technologies segment growing mid-single digits in structurally attractive end markets driven by water scarcity and aging demographics [1]</w:t>
      </w:r>
    </w:p>
    <w:p>
      <w:pPr>
        <w:spacing w:before="40" w:after="40"/>
        <w:ind w:left="283"/>
      </w:pPr>
      <w:r>
        <w:rPr>
          <w:rFonts w:ascii="Calibri" w:hAnsi="Calibri"/>
          <w:b/>
          <w:color w:val="4A6B25"/>
          <w:sz w:val="20"/>
        </w:rPr>
        <w:t xml:space="preserve">3. </w:t>
      </w:r>
      <w:r>
        <w:rPr>
          <w:rFonts w:ascii="Calibri" w:hAnsi="Calibri"/>
          <w:b w:val="0"/>
          <w:color w:val="3A4A28"/>
          <w:sz w:val="20"/>
        </w:rPr>
        <w:t>$2B share buyback authorization plus $1.2B Aramids divestiture proceeds provide significant capital return capacity on a ~$19B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litigation exposure beyond existing settlements — Texas AG, North Carolina AG, and additional state and federal lawsuits could produce billions in additional liabilities [3]</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only 2-3% is below the company's medium-term target of 3-4% CAGR, with Diversified Industrials facing cyclical weakness [1]</w:t>
      </w:r>
    </w:p>
    <w:p>
      <w:pPr>
        <w:spacing w:before="40" w:after="40"/>
        <w:ind w:left="283"/>
      </w:pPr>
      <w:r>
        <w:rPr>
          <w:rFonts w:ascii="Calibri" w:hAnsi="Calibri"/>
          <w:b/>
          <w:color w:val="4A6B25"/>
          <w:sz w:val="20"/>
        </w:rPr>
        <w:t xml:space="preserve">3. </w:t>
      </w:r>
      <w:r>
        <w:rPr>
          <w:rFonts w:ascii="Calibri" w:hAnsi="Calibri"/>
          <w:b w:val="0"/>
          <w:color w:val="3A4A28"/>
          <w:sz w:val="20"/>
        </w:rPr>
        <w:t>Serial portfolio restructuring (DowDuPont split, Electronics separation, Aramids sale) creates integration risk and management distraction as the company stabilizes around two remaining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DuPont's core businesses — water filtration membranes, medical device components, construction materials (Tyvek), and specialty adhesives — involve physical-world manufacturing and deeply engineered materials that AI cannot substitute [2]. These are tangible products requiring materials science expertise, manufacturing precision, and regulatory approvals. AI may enhance DuPont's R&amp;D discovery processes and manufacturing optimization but poses no substitution threat to the physical products themselves. The semiconductor materials business (now separated as Qnity) was the most AI-adjacent segment and has been divested. AI Opportunity (0/1): DuPont does not generate meaningful revenue from AI products or services; its AI exposure is limited to potential internal process optimization and indirect demand from semiconductor/electronics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DuPont Q4 and Full Year 2025 Earnings Release — $6.85B revenue, $1.68 adjusted EPS,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DuPont corporate website — leadership, innovation, sustainability report,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ESG Dive, Business and Human Rights Centre, EPA — DuPont PFAS litigation and settlements history,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DD (DuPont de Nemours),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