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DEI</w:t>
      </w:r>
      <w:r>
        <w:rPr>
          <w:rFonts w:ascii="Calibri" w:hAnsi="Calibri"/>
          <w:b/>
          <w:color w:val="1A2010"/>
          <w:sz w:val="40"/>
        </w:rPr>
        <w:t xml:space="preserve">  Douglas Emmett,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2026-04-11 · Inspire: 12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45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Real Estate · REIT - Office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Douglas Emmett, Inc. is a fully integrated, self-administered and self-managed real estate investment trust and one of the largest owners and operators of high-quality office and multifamily properties located in the premier coastal submarkets of Los Angeles and Honolulu.</w:t>
      </w:r>
    </w:p>
    <w:p>
      <w:r>
        <w:rPr>
          <w:rFonts w:ascii="Calibri" w:hAnsi="Calibri"/>
          <w:b/>
          <w:color w:val="6E8450"/>
          <w:sz w:val="18"/>
        </w:rPr>
        <w:t>778 Employees · https://www.douglasemmett.com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Innovation Track Record (1/3): DEI has pursued modest redevelopment projects in its LA and Honolulu portfolios but has not launched transformative new products or pivoted its business model in the past five years [1]. AI Deployment (0/2): No evidence of AI-powered building management systems, predictive maintenance, or AI-driven leasing tools deployed at scale. Market Share Leadership (1/2): DEI remains one of the largest office landlords in West LA with approximately 17.6M sq ft of office and 4,200 multifamily units, holding a significant share in high-barrier coastal submarkets [1][3]. Product Pipeline (1/2): The company has active redevelopment projects converting underperforming office assets and pursuing densification, though specific timelines and revenue impact are vague [3]. R&amp;D Intensity (0/1): As a REIT, DEI invests negligible amounts in R&amp;D relative to peers.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(1/4): DEI's stated purpose is generic — focused on owning premier office and multifamily properties in high-barrier markets with no articulation of a deeper societal mission beyond real estate investment [1]. Community Impact (1/2): The company publishes an ESG report with carbon neutrality targets by 2050 and basic workplace fairness policies, though charitable programs and community investment are not prominently featured [5]. Employee Retention (0/2): Glassdoor ratings of 2.8/5 with only 44% recommending the company and a D+ leadership grade place DEI in the bottom quartile for employee satisfaction; no evidence of strong retention [4]. Insider Buying (1/2): Some insider buying activity has been reported, with CEO Jordan Kaplan demonstrating modest alignment through share purchases, though volumes are not substantial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DEI scores poorly on Infrastructure due to near-zero ROE (-0.32%), razor-thin 1.62% profit margin, negative forward earnings (forward P/E of -71), and an unsustainable 844% GAAP payout ratio [1][2]. D/E of 160% is elevated but within tolerance for a leveraged REIT. Revenue grew 1.5% YoY to $1.004B, aided by full multifamily occupancy and net positive office absorption of 104K sq ft in Q4 [1]. The dividend was cut 32% in late 2022 from $0.28 to $0.19/quarter and has not grown since, eliminating consecutive growth years. Net debt of $4.35B and 2026 guidance for net loss of $0.14-$0.20/share reflect ongoing interest expense headwinds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Douglas Emmett operates with a finite mindset focused on maintaining its concentrated West LA and Honolulu portfolio rather than pursuing a transformative purpose. CEO Jordan Kaplan's 21-year tenure provides stability but the company's strategic horizon is oriented around FFO guidance, dividend coverage, and debt refinancing rather than a vision for the future of urban living or work. The 2022 dividend cut and guidance for net losses in 2026 reflect a defensive posture prioritizing survival over long-term capability building.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DEI's purpose is owning premium real estate in high-barrier coastal markets — this is a business strategy, not a Just Cause. There is no articulated vision for how the company's work contributes to a better future for cities, communities, or tenants. The company's investor materials focus exclusively on financial returns and portfolio metrics [1][3].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Glassdoor data paints a low-trust picture — 2.8/5 overall rating, D+ leadership grade in the bottom 25% of peers, and only 44% of employees would recommend the company [4]. Reviews cite poor work-life balance (2.7/5) and weak culture and values (2.7/5), suggesting a challenging internal environment inconsistent with Sinek's Circle of Safety.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evidence of DEI acknowledging competitors' strengths or using competitive pressure for self-improvement. Management commentary focuses on DEI's unique market position in West LA rather than learning from peers like Boston Properties or Vornado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DEI has shown incremental flexibility by converting underperforming office space through redevelopment projects and maintaining full multifamily occupancy during the office downturn [1][3]. However, the company has not made any transformative pivot — it remains exclusively focused on the same two markets (LA and Honolulu) with the same asset types it has owned for decades.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Management demonstrated some courage by cutting the dividend in 2022 to preserve capital during rising interest rates rather than maintaining an unsustainable payout [1]. However, 2026 guidance projecting net losses while maintaining the reduced dividend suggests the company is managing for financial survival rather than making bold long-term investments in portfolio repositioning.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Douglas Emmett is a concentrated office/multifamily REIT facing structural headwinds from remote work trends and elevated interest rates. While its premium West LA and Honolulu locations provide supply-constraint advantages, the company is guiding for net losses in 2026 with FFO declining from $1.71 to $1.39-$1.45 per share [1]. The 7.85% dividend yield is attractive but built on an 844% GAAP payout ratio and a dividend that was already cut 32% in 2022.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DEI's investment case hinges on a recovery in LA office occupancy (currently 77-79%) and eventual interest rate relief to reduce the burden of $4.35B in net debt [1][3]. At $9.68/share with a $1.96B market cap, the stock trades at a steep discount to NAV, pricing in significant distress. For IOWN, the weak Infrastructure score, low employee satisfaction, and absence of a growth catalyst make this a WATCH — value trap risk is real until office fundamentals inflect [5].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LA office occupancy recovery above 80% would meaningfully improve same-property NOI and FFO trajectory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Interest rate cuts reducing refinancing costs on $4.35B net debt could restore profitability and dividend growth capacity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Redevelopment projects converting underperforming office to higher-value uses could unlock embedded portfolio value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Prolonged remote/hybrid work trends could keep West LA office vacancy elevated, with 2026 guidance assuming only 77-79% average occupancy [1][3]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Rising interest expenses are the primary earnings headwind — forward EPS is negative and FFO is declining year-over-year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Geographic concentration in two markets (LA and Honolulu) creates outsized exposure to regional economic and regulatory risks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DEI operates physical office buildings and multifamily apartments in supply-constrained coastal markets — a business that is structurally immune to AI substitution [1]. Real estate ownership, property management, tenant relationships, and building operations cannot be displaced by software or generative AI. The primary AI risk is indirect: if remote work enabled by AI collaboration tools reduces office demand, DEI's 77-79% office occupancy could face further pressure [3]. However, DEI's premium West LA locations and multifamily portfolio provide defensibility. AI Opportunity (0/1): No quantifiable AI revenue — DEI does not sell technology products or AI-powered services.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12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Douglas Emmett Q4 2025 Earnings Release and 2026 Guidance, February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Simply Wall St — Douglas Emmett (DEI) Valuation and Financial Analysis, accessed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Douglas Emmett Q4 2025 Investor Presentation — High-barrier markets strategy, February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Glassdoor — Douglas Emmett Employee Reviews (351 reviews), accessed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Douglas Emmett 2023 Environmental, Social &amp; Governance (ESG) Report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