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DEO</w:t>
      </w:r>
      <w:r>
        <w:rPr>
          <w:rFonts w:ascii="Calibri" w:hAnsi="Calibri"/>
          <w:b/>
          <w:color w:val="1A2010"/>
          <w:sz w:val="40"/>
        </w:rPr>
        <w:t xml:space="preserve">  Diageo plc</w:t>
      </w:r>
    </w:p>
    <w:p>
      <w:pPr>
        <w:spacing w:after="120"/>
      </w:pPr>
      <w:r>
        <w:rPr>
          <w:rFonts w:ascii="Calibri" w:hAnsi="Calibri"/>
          <w:b/>
          <w:color w:val="6E8450"/>
          <w:sz w:val="18"/>
        </w:rPr>
        <w:t>DIVIDEND SLEEVE · 2026-04-19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NYSE · United Kingdom</w:t>
      </w:r>
    </w:p>
    <w:p>
      <w:pPr>
        <w:spacing w:after="80"/>
      </w:pPr>
      <w:r>
        <w:rPr>
          <w:rFonts w:ascii="Calibri" w:hAnsi="Calibri"/>
          <w:b w:val="0"/>
          <w:color w:val="3A4A28"/>
          <w:sz w:val="20"/>
        </w:rPr>
        <w:t>Diageo is the world's largest spirits company, producing, marketing, and distributing premium alcoholic beverages globally. Its portfolio includes iconic brands such as Johnnie Walker, Don Julio, Guinness, Crown Royal, Smirnoff, Baileys, Captain Morgan, Casamigos, and Shui Jing Fang. The company operates across North America, Europe, Asia Pacific, Latin America/Caribbean, and Africa. Founded in 1886 (as Guinness), headquartered in London.</w:t>
      </w:r>
    </w:p>
    <w:p>
      <w:r>
        <w:rPr>
          <w:rFonts w:ascii="Calibri" w:hAnsi="Calibri"/>
          <w:b/>
          <w:color w:val="6E8450"/>
          <w:sz w:val="18"/>
        </w:rPr>
        <w:t>29,632 Employees · https://www.diageo.com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Diageo has expanded its premium spirits portfolio through acquisitions (Don Julio, Casamigos, Aviation Gin) and invested in premiumization across categories, but revenue has been essentially flat at ~$20B for four consecutive years (FY2022-FY2025) with H1 FY2026 organic sales declining 2.8% [1]. The strategy has not generated meaningful top-line growth. AI Deployment (1/2): Diageo deploys AI-powered 'Flavorprint' technology for personalized beverage recommendations and uses AI to understand consumer behavior and optimize marketing, with the company 'experimenting and scaling AI across a number of different use cases' [2]. Market Share (2/2): Diageo is the world's largest premium spirits company by revenue with category-leading brands in scotch (Johnnie Walker), tequila (Don Julio/Casamigos), stout (Guinness), and vodka (Smirnoff), maintaining dominant global market share [1]. Pipeline (1/2): CEO Debra Crew identifies innovation as one of four growth pillars, with ready-to-drink expansion, non-alcoholic alternatives, and premiumization driving the pipeline, though FY2026 guidance of flat-to-slightly-down organic sales tempers expectations [1]. R&amp;D Intensity (0/1): Below average R&amp;D as a percentage of revenue for a consumer goods company; innovation is primarily in marketing and brand building rather than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Diageo's 'Spirit of Progress' ESG framework articulates purpose around 'celebrating life, every day, everywhere' and promoting positive drinking — specific and thoughtful for an alcohol company, connecting business to responsible consumption, though inherently constrained by the product category's societal tensions [3]. Community Impact (2/2): Diageo's ESG commitments include DRINKiQ health literacy in every market, 50% women in leadership by 2030, 40% water efficiency improvement in stressed areas, and grain-to-glass sustainability targets with PwC-audited metrics — this is comprehensive and measurable [3]. Employee Retention (1/2): Glassdoor reviews note positive culture, career development, and benefits as strengths, though criticism of 'unrealistic targets' and 'senior management pushing short-term harm' suggests mixed retention signals [2]. Insider Buying (1/2): CEO Debra Crew was appointed in 2023 as an external hire (from PepsiCo), bringing fresh perspective but limited insider ownership history with Diageo specifically.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Diageo's financial profile reflects a mature, cash-generative business with some balance sheet strain. D/E of 177.4% is elevated ($24.3B debt vs. $13.7B equity) though typical for consumer staples that lever stable cash flows [4]. ROE of 19.7% demonstrates efficient capital deployment. Revenue of $19.8B (TTM) declined 4.0% with organic sales down 2.8% in H1 FY2026, pressured by weak US spirits demand and Chinese white spirits headwinds [1]. Profit margin of 12.2% and operating margins of 31.3% with 60% gross margins show strong pricing power on premium brands [4]. Forward P/E of 12.7x is historically cheap for Diageo. Payout ratio of 95.6% is dangerously high, leaving minimal cushion for dividend growth. Diageo has paid dividends for ~28 consecutive years and grown them for ~15+ years. Operating cash flow of $4.1B funds the business. Liquidity floor easily cleared at $160.8M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Diageo inherits infinite game DNA from brands with century-plus histories — Guinness (1759), Johnnie Walker (1820) — and the company's stewardship model prioritizes brand equity over quarterly volume. However, Glassdoor criticism of management pushing 'unrealistic targets' and prioritizing short-term results suggests finite game pressures at the operational level. The 'Spirit of Progress' ESG framework demonstrates genuine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Diageo's purpose of 'celebrating life, every day, everywhere' combined with its Spirit of Progress sustainability framework articulates a genuine cause beyond profit — the company connects premium spirits to social moments while acknowledging responsibility through DRINKiQ and responsible drinking programs [3]. This is validated by 140+ years of brand stewardship (Guinness, Johnnie Walker) that has endured through world wars, prohibition, and cultural shifts.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highlight career development and culture as positives, with employees describing supportive teams and strong benefits [2]. However, criticism of senior management pushing 'unrealistic targets and forcing action that does long-term harm to business' and a 'culture of keeping the status quo' suggests trust gaps between frontline teams and senior leadership [2]. The 50% women in leadership target shows commitment to inclusion.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Diageo explicitly studies competitors like Pernod Ricard, Brown-Forman, and Constellation Brands, using competitive dynamics to improve its own premiumization strategy and portfolio management [1]. The company's acquisition of Casamigos (a rival brand) rather than trying to defeat it demonstrates collaborative competitive awareness.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Diageo's transformation from the Guinness-Grand Metropolitan beer-focused merger (1997) into the world's largest premium spirits company represents a significant strategic evolution [1]. The recent expansion into ready-to-drink, non-alcoholic alternatives, and premiumization shows ongoing adaptation. However, the core business model of producing and marketing spirits has remained fundamentally unchanged.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Diageo has invested heavily in premiumization and sustainability despite short-term revenue headwinds, maintaining brand investment during the current demand downturn rather than cutting marketing to protect margins [1][3]. The appointment of Debra Crew as an external CEO (2023) from PepsiCo showed willingness to bring fresh perspective during a challenging period.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Diageo is the world's largest premium spirits company trading at a historically cheap forward P/E of 12.7x (PEG 0.73x), offering a 4.05% dividend yield backed by iconic brands with century-plus heritage including Johnnie Walker, Guinness, Don Julio, and Casamigos [1][4]. The company generates $4.1B operating cash flow with 60% gross margins and 31.3% operating margins, demonstrating the pricing power of its premium brand portfolio [4]. The current valuation discount reflects cyclical headwinds — weak US spirits demand and Chinese white spirits pressure — that management views as transitory, with FY2026 guidance for organic operating profit growth of low-to-mid single digits despite flat-to-down revenue [1]. Global premiumization trends, Guinness renaissance (brand experiencing viral growth among younger consumers), and emerging market spirits penetration provide structural growth drivers beyond the current cycle trough.</w:t>
      </w:r>
    </w:p>
    <w:p>
      <w:pPr>
        <w:spacing w:after="120"/>
      </w:pPr>
      <w:r>
        <w:rPr>
          <w:rFonts w:ascii="Calibri" w:hAnsi="Calibri"/>
          <w:b w:val="0"/>
          <w:color w:val="3A4A28"/>
          <w:sz w:val="20"/>
        </w:rPr>
        <w:t>The bear case is that Diageo's growth engine has stalled — revenue has been flat at ~$20B for four consecutive fiscal years with H1 FY2026 organic sales declining 2.8%, suggesting structural demand challenges beyond cyclical weakness [1]. The payout ratio of 95.6% is dangerously high, leaving virtually no cushion for dividend maintenance if earnings decline further, creating real dividend cut risk [4]. D/E of 177.4% with $24.3B debt limits balance sheet flexibility and increases sensitivity to rising interest rates. North America (Diageo's largest market) faces secular pressure from GLP-1 weight-loss drugs reducing alcohol consumption, cannabis legalization displacing social drinking occasions, and younger consumers' shifting preferences toward wellness and moderation [1]. Chinese white spirits (Shui Jing Fang) continues to underperform as China's economic recovery disappoints. The CEO transition to Debra Crew (external hire, 2023) is still being evaluated by the market, and Glassdoor criticism of management pushing 'unrealistic targets' suggests cultural friction during the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Guinness brand renaissance — viral consumer demand growth among younger demographics could accelerate beer segment revenue and validate premiumization strategy beyond spirits [1]</w:t>
      </w:r>
    </w:p>
    <w:p>
      <w:pPr>
        <w:spacing w:before="40" w:after="40"/>
        <w:ind w:left="283"/>
      </w:pPr>
      <w:r>
        <w:rPr>
          <w:rFonts w:ascii="Calibri" w:hAnsi="Calibri"/>
          <w:b/>
          <w:color w:val="4A6B25"/>
          <w:sz w:val="20"/>
        </w:rPr>
        <w:t xml:space="preserve">2. </w:t>
      </w:r>
      <w:r>
        <w:rPr>
          <w:rFonts w:ascii="Calibri" w:hAnsi="Calibri"/>
          <w:b w:val="0"/>
          <w:color w:val="3A4A28"/>
          <w:sz w:val="20"/>
        </w:rPr>
        <w:t>Global premiumization tailwind — consumers trading up to premium and super-premium spirits in emerging markets (India, Africa, Latin America) expands addressable market as middle-class populations grow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historically cheap 12.7x forward P/E if organic revenue growth inflects positive and demonstrates the growth stall was cyclical, not structural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payout ratio of 95.6% leaves no margin of safety; any further earnings decline would force a dividend cut that could trigger significant share price decline [4]</w:t>
      </w:r>
    </w:p>
    <w:p>
      <w:pPr>
        <w:spacing w:before="40" w:after="40"/>
        <w:ind w:left="283"/>
      </w:pPr>
      <w:r>
        <w:rPr>
          <w:rFonts w:ascii="Calibri" w:hAnsi="Calibri"/>
          <w:b/>
          <w:color w:val="4A6B25"/>
          <w:sz w:val="20"/>
        </w:rPr>
        <w:t xml:space="preserve">2. </w:t>
      </w:r>
      <w:r>
        <w:rPr>
          <w:rFonts w:ascii="Calibri" w:hAnsi="Calibri"/>
          <w:b w:val="0"/>
          <w:color w:val="3A4A28"/>
          <w:sz w:val="20"/>
        </w:rPr>
        <w:t>Secular demand headwinds — GLP-1 drugs (Ozempic/Mounjaro) reducing alcohol consumption, cannabis legalization, and moderation trends among younger consumers could structurally shrink the spirits TAM [1]</w:t>
      </w:r>
    </w:p>
    <w:p>
      <w:pPr>
        <w:spacing w:before="40" w:after="40"/>
        <w:ind w:left="283"/>
      </w:pPr>
      <w:r>
        <w:rPr>
          <w:rFonts w:ascii="Calibri" w:hAnsi="Calibri"/>
          <w:b/>
          <w:color w:val="4A6B25"/>
          <w:sz w:val="20"/>
        </w:rPr>
        <w:t xml:space="preserve">3. </w:t>
      </w:r>
      <w:r>
        <w:rPr>
          <w:rFonts w:ascii="Calibri" w:hAnsi="Calibri"/>
          <w:b w:val="0"/>
          <w:color w:val="3A4A28"/>
          <w:sz w:val="20"/>
        </w:rPr>
        <w:t>China exposure — Shui Jing Fang and Chinese white spirits continue to underperform amid China's economic slowdown, creating a drag on Asia Pacific segment that may persist through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Diageo's core business — producing and distributing physical spirits and beer — is structurally immune to AI disruption. AI cannot replace the production of Johnnie Walker scotch aged in warehouses, the brewing of Guinness, or the distillation of Don Julio tequila [1]. The company's competitive moat is built on brand heritage spanning decades to centuries (Guinness since 1759), physical production infrastructure, and distribution networks that AI cannot replicate. Premium spirits consumption is driven by human social behavior and brand prestige, not digital workflows susceptible to automation. AI Opportunity (0/1): Diageo uses AI for marketing analytics (Flavorprint recommendations, consumer behavior modeling) but these are operational efficiency tools, not meaningful AI revenue generators [2]. No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Diageo H1 FY2026 Interim Results — $10.46B half-year net sales, -2.8% organic growth, FY2026 guidance, February 25, 2026</w:t>
      </w:r>
    </w:p>
    <w:p>
      <w:pPr>
        <w:spacing w:before="20" w:after="20"/>
        <w:ind w:left="170"/>
      </w:pPr>
      <w:r>
        <w:rPr>
          <w:rFonts w:ascii="Calibri" w:hAnsi="Calibri"/>
          <w:b/>
          <w:color w:val="4A6B25"/>
          <w:sz w:val="15"/>
        </w:rPr>
        <w:t xml:space="preserve">2. </w:t>
      </w:r>
      <w:r>
        <w:rPr>
          <w:rFonts w:ascii="Calibri" w:hAnsi="Calibri"/>
          <w:b w:val="0"/>
          <w:color w:val="3A4A28"/>
          <w:sz w:val="17"/>
        </w:rPr>
        <w:t>Diageo website / Glassdoor / Marketing Week — CEO Debra Crew, Flavorprint AI, culture reviews, AI innovation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Diageo ESG / Spirit of Progress — DRINKiQ, 50% women in leadership target, water efficiency, PwC-audited sustainability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DEO (Diageo plc),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