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DHC</w:t>
      </w:r>
      <w:r>
        <w:rPr>
          <w:rFonts w:ascii="Calibri" w:hAnsi="Calibri"/>
          <w:b/>
          <w:color w:val="1A2010"/>
          <w:sz w:val="40"/>
        </w:rPr>
        <w:t xml:space="preserve">  Diversified Healthcare Trust</w:t>
      </w:r>
    </w:p>
    <w:p>
      <w:pPr>
        <w:spacing w:after="120"/>
      </w:pPr>
      <w:r>
        <w:rPr>
          <w:rFonts w:ascii="Calibri" w:hAnsi="Calibri"/>
          <w:b/>
          <w:color w:val="6E8450"/>
          <w:sz w:val="18"/>
        </w:rPr>
        <w:t>GROWTH SLEEVE · 2026-04-16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Healthcare Facilities · NASDAQ · United States</w:t>
      </w:r>
    </w:p>
    <w:p>
      <w:pPr>
        <w:spacing w:after="80"/>
      </w:pPr>
      <w:r>
        <w:rPr>
          <w:rFonts w:ascii="Calibri" w:hAnsi="Calibri"/>
          <w:b w:val="0"/>
          <w:color w:val="3A4A28"/>
          <w:sz w:val="20"/>
        </w:rPr>
        <w:t>Diversified Healthcare Trust is a real estate investment trust focused on owning high-quality healthcare properties throughout the United States. As of September 30, 2025, DHC's approximately $6.7 billion portfolio included 335 properties in 34 states and Washington, D.C., with more than 26,000 senior living units, approximately 6.9 million square feet of medical office and life science properties occupied by approximately 420 tenants.</w:t>
      </w:r>
    </w:p>
    <w:p>
      <w:r>
        <w:rPr>
          <w:rFonts w:ascii="Calibri" w:hAnsi="Calibri"/>
          <w:b/>
          <w:color w:val="6E8450"/>
          <w:sz w:val="18"/>
        </w:rPr>
        <w:t>https://www.dhcreit.com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DHC has executed a meaningful operational turnaround in its Senior Housing Operating Portfolio (SHOP), growing SHOP NOI 31.3% in 2025 and improving same-property occupancy to 82.4% [1]. The transition to higher-quality operators including Discovery Senior Living represents strategic portfolio improvement. However, this is a recovery from severe underperformance rather than innovation. AI Deployment (0/2): No evidence of AI-powered products or quantified AI-driven operational improvements. DHC is managed by The RMR Group, which focuses on traditional real estate management without disclosed AI initiatives [3]. Market Share (1/2): DHC operates a significant portfolio of 335 healthcare properties worth approximately $6.7B, making it a meaningful player in healthcare REITs, though not a category leader compared to Welltower or Ventas [1][3]. Pipeline (1/2): Management guided to 2026 SHOP NOI of $175-185M (26-33% growth) with occupancy targets of 82.5% and 4-6% average rate growth on legacy Aleris properties, providing clear near-term visibility [1]. R&amp;D Intensity (0/1): As a REIT, there is no R&amp;D spending; value creation comes through property management and capital allocation.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DHC's stated purpose — 'owning high-quality healthcare properties' that serve seniors and healthcare providers — identifies what the company does and for whom, with an implicit connection to the broader purpose of supporting healthcare delivery in an aging America [3]. Clear but not distinctive among healthcare REITs. Community Impact (1/2): DHC's 335 properties serving 26,000+ senior living units and 420 healthcare tenants provide essential infrastructure for healthcare delivery and senior care across 34 states [3]. The RMR Group has been recognized as an EPA ENERGY STAR Partner of the Year, demonstrating environmental commitment in property management [3]. Employee Retention (1/2): DHC is externally managed by The RMR Group, which has been recognized by The Boston Globe as a 'Top Place to Work' and maintains nearly 900 real estate professionals in 30+ offices [3]. This external management structure provides professional stability, though it creates alignment questions between managers and shareholders. Insider Buying (1/2): CEO Christopher Bilotto purchased 20,000 shares at $4.886 in December 2025 ($97,800 total), increasing his ownership by 8.12% to 266,285 shares — a meaningful vote of confidence during the turnaround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DHC's financial profile reflects a turnaround in progress — revenue grew 2.8% YoY to $1.54B in FY2025, and SHOP NOI surged 31.3% as occupancy recovered to 82.4% [1]. However, the company remains deeply unprofitable with net losses of $285.9M in 2025 (improved from $370.3M in 2024) and profit margin of -18.6% [5]. ROE is negative at -15.8%, and forward EPS guidance remains negative [5]. D/E of 145.2% is moderate for a healthcare REIT. The 2026 guidance of $290-305M adjusted EBITDAre and $0.52-0.58 normalized FFO per share shows the path to operational profitability, but GAAP profitability remains years away [1]. The token $0.04 annual dividend (0.54% yield) is symbolic rather than meaningful for income investors. DHC was the best-performing U.S. REIT in 2025 on total shareholder return, with stock rising from a 52-week low of $2.11 to $7.45, but this reflects recovery from extreme distress rather than fundamental strength [4]. Liquidity floor cleared: $15.3M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DHC demonstrates mixed infinite game characteristics — the healthcare mission provides genuine long-term purpose, and the operational turnaround shows willingness to invest through pain. However, the externally managed REIT structure (managed by RMR Group) creates inherent principal-agent tensions, and the company's history of severe underperformance before the turnaround suggests past finite game optimization that prioritized financial engineering over operational excellence.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DHC's purpose — providing high-quality healthcare properties for seniors and healthcare providers — connects to the genuine societal need of caring for an aging population [3]. This is more meaningful than a generic real estate investment thesis. However, as an externally managed REIT, the operational decisions are made by RMR Group, which manages multiple REITs, potentially diluting the Just Cause focus. The cause exists but is partially lived through an intermediary structure.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is externally managed by The RMR Group, which has been recognized as a 'Top Place to Work' by The Boston Globe and maintains nearly 900 real estate professionals across 30+ offices [3]. This provides professional management stability. However, the external management model inherently limits trust alignment — RMR earns management fees regardless of DHC's stock performance, creating structural conflicts. CEO Bilotto's insider buying partially mitigates this concern.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DHC explicitly acknowledging Welltower, Ventas, or other healthcare REIT competitors as worthy rivals from whom they learn. DHC's competitive language focuses on its own turnaround execution and portfolio quality rather than competitive self-improvement [1].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has demonstrated meaningful strategic evolution — transitioning operator relationships (signing Discovery Senior Living for a 42-community portfolio), restructuring the SHOP portfolio, and pivoting from passive lease-based income to active senior housing operations [1][3]. The shift from a distressed, overleveraged REIT to a turnaround story required significant strategic adaptation. However, the core business model remains fundamentally a healthcare property REIT.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DHC management maintained investment in the senior housing turnaround despite years of losses ($949M cumulative net losses from 2022-2025) and severe stock price depression [1][5]. The decision to transition operators and restructure the SHOP portfolio rather than selling assets at distressed prices showed commitment to long-term value creation. CEO Bilotto's personal stock purchase at $4.89 in December 2025 demonstrated skin-in-the-game conviction [4].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DHC is a healthcare REIT turnaround story with significant operational momentum — SHOP NOI grew 31.3% in 2025 with occupancy recovering to 82.4%, and the company was the best-performing U.S. REIT in 2025 based on total shareholder return [1]. The 2026 guidance of $290-305M adjusted EBITDAre and SHOP NOI of $175-185M (26-33% growth) provides clear visibility into continued improvement [1]. At $7.45, the stock trades at a substantial discount to the $6.7B portfolio appraised value, reflecting residual skepticism about the turnaround's sustainability. An aging U.S. population provides a structural demographic tailwind for senior housing demand, and the Discovery Senior Living partnership strengthens operational capabilities across 42 communities [3]. CEO Bilotto's insider buying at $4.89 in December 2025 signals management confidence, and the stock's surge from $2.11 to $7.45 over the past year demonstrates market recognition of the turnaround progress [4].</w:t>
      </w:r>
    </w:p>
    <w:p>
      <w:pPr>
        <w:spacing w:after="120"/>
      </w:pPr>
      <w:r>
        <w:rPr>
          <w:rFonts w:ascii="Calibri" w:hAnsi="Calibri"/>
          <w:b w:val="0"/>
          <w:color w:val="3A4A28"/>
          <w:sz w:val="20"/>
        </w:rPr>
        <w:t>The bear case centers on persistent GAAP losses and structural governance concerns. DHC has posted cumulative net losses of $949M from 2022-2025, and the forward P/E remains negative — the company is not yet profitable on a GAAP basis even as NOI improves [5]. The external management structure through RMR Group creates principal-agent conflicts, as RMR earns fees regardless of DHC's stock performance, and RMR manages multiple REITs that may compete for capital allocation attention. D/E of 145% constrains financial flexibility, and the token $0.04 annual dividend signals inability to return meaningful capital to shareholders. The senior housing industry faces persistent labor cost pressures as healthcare worker wages rise, potentially limiting margin expansion even as occupancy improves. Zacks recently downgraded DHC to Strong Sell, and the Q4 2025 earnings missed expectations by $0.21 EPS [4]. Beta of 2.34 means the stock amplifies market volatility, creating significant drawdown risk in any broad market correction. The path from operational improvement to GAAP profitability and meaningful dividend restoration remains long and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SHOP NOI growth toward $175-185M in 2026 (26-33% YoY) driven by occupancy expansion to 82.5%+ and 4-6% average rate increases on legacy Aleris properties [1]</w:t>
      </w:r>
    </w:p>
    <w:p>
      <w:pPr>
        <w:spacing w:before="40" w:after="40"/>
        <w:ind w:left="283"/>
      </w:pPr>
      <w:r>
        <w:rPr>
          <w:rFonts w:ascii="Calibri" w:hAnsi="Calibri"/>
          <w:b/>
          <w:color w:val="4A6B25"/>
          <w:sz w:val="20"/>
        </w:rPr>
        <w:t xml:space="preserve">2. </w:t>
      </w:r>
      <w:r>
        <w:rPr>
          <w:rFonts w:ascii="Calibri" w:hAnsi="Calibri"/>
          <w:b w:val="0"/>
          <w:color w:val="3A4A28"/>
          <w:sz w:val="20"/>
        </w:rPr>
        <w:t>U.S. demographic tailwind — aging baby boomer population structurally increasing demand for the 26,000+ senior living units in DHC's portfolio over the next decade [3]</w:t>
      </w:r>
    </w:p>
    <w:p>
      <w:pPr>
        <w:spacing w:before="40" w:after="40"/>
        <w:ind w:left="283"/>
      </w:pPr>
      <w:r>
        <w:rPr>
          <w:rFonts w:ascii="Calibri" w:hAnsi="Calibri"/>
          <w:b/>
          <w:color w:val="4A6B25"/>
          <w:sz w:val="20"/>
        </w:rPr>
        <w:t xml:space="preserve">3. </w:t>
      </w:r>
      <w:r>
        <w:rPr>
          <w:rFonts w:ascii="Calibri" w:hAnsi="Calibri"/>
          <w:b w:val="0"/>
          <w:color w:val="3A4A28"/>
          <w:sz w:val="20"/>
        </w:rPr>
        <w:t>Path to GAAP profitability — as NOI growth continues and losses narrow (from $370M in 2024 to $286M in 2025), the potential crossover to positive GAAP earnings could trigger a significant re-rating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losses — cumulative $949M net losses from 2022-2025 with forward EPS still negative, raising questions about the timeline to sustainable profitability [5]</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conflicts — RMR Group earns management fees regardless of DHC stock performance, creating misaligned incentives and limiting direct accountability for shareholder returns [3]</w:t>
      </w:r>
    </w:p>
    <w:p>
      <w:pPr>
        <w:spacing w:before="40" w:after="40"/>
        <w:ind w:left="283"/>
      </w:pPr>
      <w:r>
        <w:rPr>
          <w:rFonts w:ascii="Calibri" w:hAnsi="Calibri"/>
          <w:b/>
          <w:color w:val="4A6B25"/>
          <w:sz w:val="20"/>
        </w:rPr>
        <w:t xml:space="preserve">3. </w:t>
      </w:r>
      <w:r>
        <w:rPr>
          <w:rFonts w:ascii="Calibri" w:hAnsi="Calibri"/>
          <w:b w:val="0"/>
          <w:color w:val="3A4A28"/>
          <w:sz w:val="20"/>
        </w:rPr>
        <w:t>Healthcare labor cost inflation — senior living operations are labor-intensive, and persistent healthcare worker wage pressure could limit margin expansion even as occupancy improves, capping the NOI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DHC's core business — owning and operating physical senior living communities and medical office buildings — is structurally immune to AI disruption [3]. Senior care requires hands-on human interaction for daily activities, medication management, social engagement, and emergency response. Medical office properties are essential physical infrastructure for healthcare delivery that cannot be virtualized. An aging U.S. population structurally increases demand for senior housing regardless of AI advancement. AI may modestly improve facility management efficiency (energy optimization, staffing scheduling) but cannot substitute for the physical assets or human care that DHC provides. AI Opportunity (0/1): No evidence of AI-generated revenue. DHC and its manager RMR Group have not disclosed any AI products, services, or quantifiable AI-driven revenue contribution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Diversified Healthcare Trust Q4 2025 Earnings Release — SHOP NOI +31.3%, occupancy 82.4%, 2026 guidance $290-305M EBITDAre, February 2026</w:t>
      </w:r>
    </w:p>
    <w:p>
      <w:pPr>
        <w:spacing w:before="20" w:after="20"/>
        <w:ind w:left="170"/>
      </w:pPr>
      <w:r>
        <w:rPr>
          <w:rFonts w:ascii="Calibri" w:hAnsi="Calibri"/>
          <w:b/>
          <w:color w:val="4A6B25"/>
          <w:sz w:val="15"/>
        </w:rPr>
        <w:t xml:space="preserve">2. </w:t>
      </w:r>
      <w:r>
        <w:rPr>
          <w:rFonts w:ascii="Calibri" w:hAnsi="Calibri"/>
          <w:b w:val="0"/>
          <w:color w:val="3A4A28"/>
          <w:sz w:val="17"/>
        </w:rPr>
        <w:t>BeyondSPX / EvertyTicker — DHC Senior Housing Turnaround analysis, margin expansion thesis, 2026</w:t>
      </w:r>
    </w:p>
    <w:p>
      <w:pPr>
        <w:spacing w:before="20" w:after="20"/>
        <w:ind w:left="170"/>
      </w:pPr>
      <w:r>
        <w:rPr>
          <w:rFonts w:ascii="Calibri" w:hAnsi="Calibri"/>
          <w:b/>
          <w:color w:val="4A6B25"/>
          <w:sz w:val="15"/>
        </w:rPr>
        <w:t xml:space="preserve">3. </w:t>
      </w:r>
      <w:r>
        <w:rPr>
          <w:rFonts w:ascii="Calibri" w:hAnsi="Calibri"/>
          <w:b w:val="0"/>
          <w:color w:val="3A4A28"/>
          <w:sz w:val="17"/>
        </w:rPr>
        <w:t>DHC corporate website / RMR Group — portfolio overview, management structure, sustainability, EPA Energy Star recognition,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MarketBeat / Daily Political — CEO Christopher Bilotto purchases 20,000 shares at $4.886, Zacks downgrade, December 2025 - February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DHC key statistics, financial data, forward EPS,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