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DHR</w:t>
      </w:r>
      <w:r>
        <w:rPr>
          <w:rFonts w:ascii="Calibri" w:hAnsi="Calibri"/>
          <w:b/>
          <w:color w:val="1A2010"/>
          <w:sz w:val="40"/>
        </w:rPr>
        <w:t xml:space="preserve">  Danaher Corporation</w:t>
      </w:r>
    </w:p>
    <w:p>
      <w:pPr>
        <w:spacing w:after="120"/>
      </w:pPr>
      <w:r>
        <w:rPr>
          <w:rFonts w:ascii="Calibri" w:hAnsi="Calibri"/>
          <w:b/>
          <w:color w:val="6E8450"/>
          <w:sz w:val="18"/>
        </w:rPr>
        <w:t>GROWTH SLEEVE · 2026-04-07 · Inspire: -75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Danaher Corporation designs, manufactures, and markets life sciences, diagnostics, and environmental solutions globally. Key operating companies include Beckman Coulter (diagnostics), Cytiva (bioprocessing), Leica Microsystems, and Pall Corporation. The company operates through the Danaher Business System (DBS), a continuous improvement framework applied across all businesses.</w:t>
      </w:r>
    </w:p>
    <w:p>
      <w:r>
        <w:rPr>
          <w:rFonts w:ascii="Calibri" w:hAnsi="Calibri"/>
          <w:b/>
          <w:color w:val="6E8450"/>
          <w:sz w:val="18"/>
        </w:rPr>
        <w:t>58,000 Employees · https://www.danaher.com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Danaher executed a transformative spin-off of its environmental and applied solutions segment (Veralto) in 2023, concentrating the portfolio on higher-margin life sciences and diagnostics [1]. Bioprocessing through Cytiva has been a key growth engine, though post-COVID destocking created a multi-year headwind. AI Deployment (1/2): Danaher appointed Martin Stumpe as Chief Technology and AI Officer in 2025, reporting directly to CEO Rainer Blair, signaling serious AI ambitions — the company is integrating AI across diagnostics and bioprocessing for scientific discovery and operational efficiency, but measurable AI-driven revenue has not yet been quantified [2]. Market Share (2/2): Danaher holds leading positions in clinical diagnostics (Beckman Coulter), bioprocessing (Cytiva), and microscopy (Leica), with dominant market share in multiple life sciences categories [1]. Pipeline (0/2): No specific next-generation product launches with timelines announced; 2026 guidance focuses on organic growth recovery rather than new product introductions. R&amp;D Intensity (1/1): Substantial R&amp;D investment across operating companies in life sciences instrumentation, diagnostics assays, and bioprocessing technologies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Danaher's purpose — 'helping realize life's potential' — is specific and thoughtful, connecting its diverse life sciences and diagnostics businesses to a meaningful cause of advancing human health [2]. CEO Rainer Blair frames decisions through this lens, and the Veralto spin-off demonstrated strategic commitment to the health-focused mission by divesting non-core environmental businesses. Community Impact (2/2): Danaher invests in STEM education, community health initiatives, and sustainability programs; the company is a signatory of the UN Global Compact and maintains active community engagement through its operating companies globally [3]. Employee Retention (1/2): Director-level employees rate culture 4.6/5 on Glassdoor, but broader workforce reviews are mixed (3.3 culture rating) with concerns about headcount reductions and DBS process burdens — suggests a two-tier cultural experience [2]. Insider Buying (1/2): The Rales family (founders) maintains significant equity ownership, demonstrating long-term alignment, though recent insider transactions are mixed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Danaher's balance sheet is strong with D/E of 37.5% well below the 70% target [5]. Forward P/E of 21.1x is near the 20x target, reflecting a slight premium for the quality of the DBS-driven business model. However, ROE of 7.1% is below the 15% target due to significant goodwill from serial acquisitions diluting equity returns [5]. Revenue growth of 4.6% YoY (FY2025 $24.6B) reflects ongoing post-COVID bioprocessing destocking normalization, with 2026 guidance of 3-6% core growth [1]. Profit margin of 14.7% is moderate for healthcare, below the 20% target. 5yr revenue CAGR of approximately 2% reflects the flat period following the 2022-2023 COVID-era peaks and Veralto separation [5]. Free cash flow of $5.3B in 2025 demonstrates the DBS system's cash generation discipline [1]. Liquidity floor cleared: 4.19M avg volume × $192.12 = $804M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Danaher is one of the clearest infinite game players in industrial America. The Danaher Business System (DBS), a 40-year continuous improvement framework, is the embodiment of playing to keep playing — it's not a strategy but an operating philosophy that has survived multiple CEO transitions, dozens of acquisitions, and fundamental portfolio transformations. The Rales family's multi-decade stewardship prioritizes long-term capability building over quarterly performance.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'Helping realize life's potential' has been validated by decades of strategic transformation — from an industrial conglomerate to a focused life sciences and diagnostics platform [2]. The Veralto spin-off in 2023 demonstrated willingness to divest profitable businesses that didn't serve the health-focused mission. The Rales brothers' 40-year commitment to DBS as a vehicle for continuous improvement transcends any single product or market cycle. This is a Just Cause that shapes every acquisition decision, operating review, and capital allocation choice.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DBS creates a structured operating environment that provides clear processes and expectations, and director-level employees rate culture 4.6/5 [2]. However, broader Glassdoor reviews (3.3 culture) reveal tensions — headcount reductions and rigid DBS process requirements can create pressure that undermines psychological safety. The 'continuous improvement' culture can tip into relentless optimization that exhausts teams rather than empowering them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Danaher's acquisition strategy is inherently built on studying competitors and identifying capabilities to acquire and improve. Management consistently benchmarks against Thermo Fisher Scientific, Roche Diagnostics, and other life sciences leaders, using competitive gaps as motivation for DBS-driven improvement rather than market share wars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Danaher has fundamentally reinvented itself multiple times — from a real estate investment trust to an industrial conglomerate (1980s-2000s) to a science and technology platform (2010s) to a focused life sciences and diagnostics company (2020s with Fortive and Veralto spin-offs) [1]. Each transformation was driven by the DBS philosophy rather than desperation, deliberately abandoning profitable businesses to concentrate on higher-quality, higher-growth platforms.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Veralto spin-off demonstrated courage to shrink revenue ($5B divested) to improve portfolio quality [1]. Danaher maintained R&amp;D investment through the post-COVID bioprocessing downturn rather than cutting to protect near-term earnings. However, the heavy reliance on cost management and headcount reductions to maintain margins during the growth pause suggests some tension between long-term investment and near-term earnings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Danaher is a premier life sciences and diagnostics platform with $24.6B in FY2025 revenue, $5.3B free cash flow, and the Danaher Business System (DBS) as a proven operational flywheel [1]. The company is entering a cyclical recovery — bioprocessing destocking is normalizing with high single-digit core growth expected, and 2026 EPS guidance of $8.35-$8.50 implies high single-digit earnings growth [1]. At 21.1x forward P/E, valuation is reasonable for a high-quality compounder with leading market positions in diagnostics (Beckman Coulter), bioprocessing (Cytiva), and microscopy (Leica). The appointment of a Chief Technology and AI Officer signals commitment to AI-driven efficiency gains across the platform [2]. Danaher's track record of portfolio transformation — Fortive (2016) and Veralto (2023) spin-offs — demonstrates disciplined capital allocation that has historically created substantial shareholder value.</w:t>
      </w:r>
    </w:p>
    <w:p>
      <w:pPr>
        <w:spacing w:after="120"/>
      </w:pPr>
      <w:r>
        <w:rPr>
          <w:rFonts w:ascii="Calibri" w:hAnsi="Calibri"/>
          <w:b w:val="0"/>
          <w:color w:val="3A4A28"/>
          <w:sz w:val="20"/>
        </w:rPr>
        <w:t>The bear case focuses on the sluggish organic growth recovery and premium valuation risk. Revenue growth of 4.6% and ROE of 7.1% are well below historical levels, reflecting the post-COVID hangover and goodwill-heavy balance sheet from serial acquisitions [5]. The 2026 guidance of 3-6% core growth is modest for a stock trading at 38x trailing earnings — any disappointment could trigger multiple compression. China headwinds remain a meaningful risk as anti-corruption campaigns and policy uncertainty continue to pressure life sciences spending in a key end market [1]. The bioprocessing recovery thesis has been the consensus narrative for two years without full materialization. Additionally, Glassdoor reviews suggest that cost-cutting measures and headcount reductions may be straining the organizational culture that DBS depends on, potentially undermining long-term innovation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Bioprocessing cyclical recovery with high single-digit core growth in Cytiva consumables as post-COVID destocking normalizes and biologic drug pipelines accelerate [1]</w:t>
      </w:r>
    </w:p>
    <w:p>
      <w:pPr>
        <w:spacing w:before="40" w:after="40"/>
        <w:ind w:left="283"/>
      </w:pPr>
      <w:r>
        <w:rPr>
          <w:rFonts w:ascii="Calibri" w:hAnsi="Calibri"/>
          <w:b/>
          <w:color w:val="4A6B25"/>
          <w:sz w:val="20"/>
        </w:rPr>
        <w:t xml:space="preserve">2. </w:t>
      </w:r>
      <w:r>
        <w:rPr>
          <w:rFonts w:ascii="Calibri" w:hAnsi="Calibri"/>
          <w:b w:val="0"/>
          <w:color w:val="3A4A28"/>
          <w:sz w:val="20"/>
        </w:rPr>
        <w:t>AI integration across diagnostics and bioprocessing under new Chief Technology and AI Officer Martin Stumpe, targeting operational efficiency and scientific discovery improvements [2]</w:t>
      </w:r>
    </w:p>
    <w:p>
      <w:pPr>
        <w:spacing w:before="40" w:after="40"/>
        <w:ind w:left="283"/>
      </w:pPr>
      <w:r>
        <w:rPr>
          <w:rFonts w:ascii="Calibri" w:hAnsi="Calibri"/>
          <w:b/>
          <w:color w:val="4A6B25"/>
          <w:sz w:val="20"/>
        </w:rPr>
        <w:t xml:space="preserve">3. </w:t>
      </w:r>
      <w:r>
        <w:rPr>
          <w:rFonts w:ascii="Calibri" w:hAnsi="Calibri"/>
          <w:b w:val="0"/>
          <w:color w:val="3A4A28"/>
          <w:sz w:val="20"/>
        </w:rPr>
        <w:t>100+ basis points of adjusted operating margin expansion guided for 2026, demonstrating DBS-driven profitability improvement through the cycle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life sciences spending headwinds — anti-corruption campaigns and policy uncertainty continue to suppress diagnostics and bioprocessing demand in a key growth market [1]</w:t>
      </w:r>
    </w:p>
    <w:p>
      <w:pPr>
        <w:spacing w:before="40" w:after="40"/>
        <w:ind w:left="283"/>
      </w:pPr>
      <w:r>
        <w:rPr>
          <w:rFonts w:ascii="Calibri" w:hAnsi="Calibri"/>
          <w:b/>
          <w:color w:val="4A6B25"/>
          <w:sz w:val="20"/>
        </w:rPr>
        <w:t xml:space="preserve">2. </w:t>
      </w:r>
      <w:r>
        <w:rPr>
          <w:rFonts w:ascii="Calibri" w:hAnsi="Calibri"/>
          <w:b w:val="0"/>
          <w:color w:val="3A4A28"/>
          <w:sz w:val="20"/>
        </w:rPr>
        <w:t>Premium valuation vulnerability — 38x trailing P/E with only 3-6% guided core growth creates downside risk if the bioprocessing recovery narrative disappoints again [5]</w:t>
      </w:r>
    </w:p>
    <w:p>
      <w:pPr>
        <w:spacing w:before="40" w:after="40"/>
        <w:ind w:left="283"/>
      </w:pPr>
      <w:r>
        <w:rPr>
          <w:rFonts w:ascii="Calibri" w:hAnsi="Calibri"/>
          <w:b/>
          <w:color w:val="4A6B25"/>
          <w:sz w:val="20"/>
        </w:rPr>
        <w:t xml:space="preserve">3. </w:t>
      </w:r>
      <w:r>
        <w:rPr>
          <w:rFonts w:ascii="Calibri" w:hAnsi="Calibri"/>
          <w:b w:val="0"/>
          <w:color w:val="3A4A28"/>
          <w:sz w:val="20"/>
        </w:rPr>
        <w:t>Organizational strain from cost-cutting and headcount reductions may undermine DBS culture and innovation capacity, risking talent attrition at operating companies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Danaher's core businesses — diagnostics instruments, bioprocessing consumables, and lab equipment — involve physical-world products that AI cannot substitute. Clinical diagnostics requires FDA-regulated physical assays and instruments; bioprocessing requires tangible filtration, chromatography, and cell culture systems [1]. AI actually increases demand for Danaher's products as AI-driven drug discovery accelerates biologic development pipelines, requiring more bioprocessing capacity. However, AI could automate some diagnostic interpretation and lab workflows, modestly reducing instrument utilization rates. AI Opportunity (1/1): Danaher appointed a Chief Technology and AI Officer and is actively integrating AI into diagnostics workflows and bioprocessing optimization, with AI-driven efficiency gains expected across operating companies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Danaher Q4 and Full Year 2025 Earnings Release — $24.6B revenue, 3% growth, $5.3B FCF, 2026 EPS guidance $8.35-$8.50, January 28, 2026</w:t>
      </w:r>
    </w:p>
    <w:p>
      <w:pPr>
        <w:spacing w:before="20" w:after="20"/>
        <w:ind w:left="170"/>
      </w:pPr>
      <w:r>
        <w:rPr>
          <w:rFonts w:ascii="Calibri" w:hAnsi="Calibri"/>
          <w:b/>
          <w:color w:val="4A6B25"/>
          <w:sz w:val="15"/>
        </w:rPr>
        <w:t xml:space="preserve">2. </w:t>
      </w:r>
      <w:r>
        <w:rPr>
          <w:rFonts w:ascii="Calibri" w:hAnsi="Calibri"/>
          <w:b w:val="0"/>
          <w:color w:val="3A4A28"/>
          <w:sz w:val="17"/>
        </w:rPr>
        <w:t>Danaher leadership and AI strategy — appointment of Martin Stumpe as Chief Technology and AI Officer (June 2025); Glassdoor employee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Danaher Sustainability Report and UN Global Compact signatory — ESG initiatives, MSCI AA rating, community and environmental programs</w:t>
      </w:r>
    </w:p>
    <w:p>
      <w:pPr>
        <w:spacing w:before="20" w:after="20"/>
        <w:ind w:left="170"/>
      </w:pPr>
      <w:r>
        <w:rPr>
          <w:rFonts w:ascii="Calibri" w:hAnsi="Calibri"/>
          <w:b/>
          <w:color w:val="4A6B25"/>
          <w:sz w:val="15"/>
        </w:rPr>
        <w:t xml:space="preserve">4. </w:t>
      </w:r>
      <w:r>
        <w:rPr>
          <w:rFonts w:ascii="Calibri" w:hAnsi="Calibri"/>
          <w:b w:val="0"/>
          <w:color w:val="3A4A28"/>
          <w:sz w:val="17"/>
        </w:rPr>
        <w:t>Klover.ai — Danaher AI Strategy Analysis: dominance in life sciences and diagnostics,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DHR (Danaher),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