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DHT</w:t>
      </w:r>
      <w:r>
        <w:rPr>
          <w:rFonts w:ascii="Calibri" w:hAnsi="Calibri"/>
          <w:b/>
          <w:color w:val="1A2010"/>
          <w:sz w:val="40"/>
        </w:rPr>
        <w:t xml:space="preserve">  DHT Holdings, Inc.</w:t>
      </w:r>
    </w:p>
    <w:p>
      <w:pPr>
        <w:spacing w:after="120"/>
      </w:pPr>
      <w:r>
        <w:rPr>
          <w:rFonts w:ascii="Calibri" w:hAnsi="Calibri"/>
          <w:b/>
          <w:color w:val="6E8450"/>
          <w:sz w:val="18"/>
        </w:rPr>
        <w:t>DIVIDEND SLEEVE · 2026-04-02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Bermuda</w:t>
      </w:r>
    </w:p>
    <w:p>
      <w:pPr>
        <w:spacing w:after="80"/>
      </w:pPr>
      <w:r>
        <w:rPr>
          <w:rFonts w:ascii="Calibri" w:hAnsi="Calibri"/>
          <w:b w:val="0"/>
          <w:color w:val="3A4A28"/>
          <w:sz w:val="20"/>
        </w:rPr>
        <w:t>DHT Holdings owns and operates a fleet of Very Large Crude Carriers (VLCCs) transporting crude oil globally, with management offices in Monaco, Norway, Singapore, and India. The company operates 22 VLCCs and generates revenue through spot market and time charter contracts.</w:t>
      </w:r>
    </w:p>
    <w:p>
      <w:r>
        <w:rPr>
          <w:rFonts w:ascii="Calibri" w:hAnsi="Calibri"/>
          <w:b/>
          <w:color w:val="6E8450"/>
          <w:sz w:val="18"/>
        </w:rPr>
        <w:t>737 Employees · https://www.dhtankers.com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DHT secured high-value time charters at $105,000/day (DHT Redwood) and $94,000/day (DHT Taiga) in March 2026, and ordered four newbuild VLCCs for H1 2026 delivery, but these are fleet management actions rather than product innovation [1]. AI Deployment (0/2): No evidence of AI-powered products or quantified AI-driven operational savings; technology efforts focus on cybersecurity rather than AI deployment [2]. Market Share (1/2): DHT is a meaningful VLCC operator with 22 vessels, but not a category leader — smaller than Frontline or Euronav in the VLCC segment [1]. Pipeline (1/2): Four newbuild VLCCs scheduled for H1 2026 delivery provide fleet expansion visibility, and management plans to increase spot exposure to 75% by Q2 2026 [1]. R&amp;D Intensity (1/1): Investment in Exhaust Gas Cleaning Systems across all vessels and ISO 14001 environmental management certification demonstrate above-average operational technology spend for the tanker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DHT's stated purpose is generic — focused on being a reliable crude oil transportation provider and delivering returns to shareholders, interchangeable with any tanker peer [2]. Community Impact (1/2): The company publishes a sustainability report, maintains a Human Rights Policy with zero tolerance for discrimination, and employs 737 people across four countries, but no distinctive charitable programs or community investment are evident [3]. Employee Retention (1/2): Leadership team has long tenure — CEO Svein Moxnes Harfjeld joined in 2010 and CFO Laila Halvorsen in 2014, suggesting stable leadership, though broader employee retention data is unavailable [2]. Insider Buying (1/2): The 100% ordinary net income payout policy aligns management with shareholders, and the company has maintained 64 consecutive quarterly dividends, though specific insider buying data was not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DHT's financial profile is strong with D/E of 38.3% (well below 70% target), ROE of 19.4% (above 15% target), and profit margin of 38.3% (nearly double the 20% target) [4]. Forward P/E of 13.2x is attractively valued, and Q4 2025 net income hit $66.1M on TCE revenues of $117.9M [1]. Full-year 2025 adjusted EBITDA was $278M with net income of $211M on TCE revenues of $369M — a 57% net margin [1]. The score is dragged down by zero consecutive years of dividend growth (payouts declined from $1.15 in 2023 to $1.00 in 2024) and no consistent 5yr dividend growth CAGR due to the variable payout nature of tanker earnings [4]. Revenue growth 5yr CAGR of ~3.2% is modest. Liquidity floor easily cleared: 4.4M avg volume × $18.11 = $80.3M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DHT plays a pragmatic game focused on capital discipline and shareholder returns rather than a transformative vision. The 100% ordinary net income payout policy and 64 consecutive quarterly dividends demonstrate consistency, but the company's purpose is functional — transport crude oil profitably — rather than aspirational. Leadership tenure is strong but the business model is inherently cyclical and reactive to market forces.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DHT exists to transport crude oil reliably and return capital to shareholders — a functional purpose that lacks the aspirational quality of a Just Cause (1/3 pts). The company's sustainability report articulates environmental commitments, but these read as compliance-driven rather than cause-driven. Sinek would note the absence of a vision that transcends the commodity tanker business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stability is notable — CEO Harfjeld (since 2010) and CFO Halvorsen (since 2014) provide continuity through multiple tanker cycles (1/2 pts). The lean 737-person organization across four countries suggests operational efficiency. However, no specific evidence of employee empowerment programs, cultural initiatives, or retention metrics beyond leadership tenure was found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DHT positions itself competitively against Frontline, Euronav, and other VLCC operators primarily on financial metrics — low breakeven rates, conservative leverage, and dividend consistency (0/1 pts). The competitive framing is about outperforming peers on returns rather than learning from rivals' strengths. Management commentary focuses on market positioning rather than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DHT has shown tactical flexibility by adjusting spot vs. time charter exposure based on market conditions — shifting to 75% spot in strong markets and locking in charters when rates are favorable (1/2 pts). The newbuild program demonstrates willingness to invest counter-cyclically. However, the company has not fundamentally reinvented itself — it remains a pure-play VLCC operator since inception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DHT maintained its conservative balance sheet (D/E 38%) and 100% payout policy through weak tanker markets, resisting the temptation to leverage up for fleet expansion (1/2 pts). The low $17,500/day cash breakeven provides resilience through downturns. However, these are prudent financial decisions rather than courageous long-term bets that sacrifice near-term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DHT Holdings is riding the strongest VLCC tanker market in years, with Q4 2025 net income of $66.1M ($0.41 EPS) on fleet-wide average rates of $60,300/day [1]. The company's 100% ordinary net income payout has delivered $3.34/share in cumulative dividends since Q3 2022, and the current 9.1% yield is supported by a low $17,500/day cash breakeven [1]. The VLCC supply picture is structurally favorable — 46% of the global fleet is over 15 years old, newbuild orderbook is only 22.2% of existing fleet, and geopolitical disruptions (Red Sea rerouting, Iran sanctions) are extending voyage distances and tightening effective supply [1]. Q1 2026 spot bookings at $78,900/day signal continued earnings strength, and four newbuild deliveries in H1 2026 will expand the fleet at peak cycle rates [1]. At 13.2x forward earnings with a 38% profit margin, DHT offers compelling value for income investors.</w:t>
      </w:r>
    </w:p>
    <w:p>
      <w:pPr>
        <w:spacing w:after="120"/>
      </w:pPr>
      <w:r>
        <w:rPr>
          <w:rFonts w:ascii="Calibri" w:hAnsi="Calibri"/>
          <w:b w:val="0"/>
          <w:color w:val="3A4A28"/>
          <w:sz w:val="20"/>
        </w:rPr>
        <w:t>The bear case centers on tanker cycle risk and the inherently variable nature of earnings. VLCC rates are highly cyclical — the $78,900/day Q1 2026 spot rate compares to periods where rates fell below $20,000/day, and the newbuild orderbook (22.2% of fleet) could weigh on rates in 2027-2028 as vessels deliver [1][2]. The 100% payout policy means dividends will collapse when rates decline — annual payouts ranged from $0.08/share (2018) to $20.88/share (2006), making income unreliable for planning purposes [4]. Revenue concentration in crude oil transportation creates secular risk from the energy transition, though this is a multi-decade timeline. Geopolitical normalization (resolution of Red Sea disruptions, easing of Iran sanctions) would immediately reduce voyage distances and effective demand, compressing rates. The $2.9B market cap limits institutional interest and creates volatility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newbuild VLCC deliveries in H1 2026 expanding fleet capacity at peak-cycle tanker rates, with spot exposure increasing to 75% [1]</w:t>
      </w:r>
    </w:p>
    <w:p>
      <w:pPr>
        <w:spacing w:before="40" w:after="40"/>
        <w:ind w:left="283"/>
      </w:pPr>
      <w:r>
        <w:rPr>
          <w:rFonts w:ascii="Calibri" w:hAnsi="Calibri"/>
          <w:b/>
          <w:color w:val="4A6B25"/>
          <w:sz w:val="20"/>
        </w:rPr>
        <w:t xml:space="preserve">2. </w:t>
      </w:r>
      <w:r>
        <w:rPr>
          <w:rFonts w:ascii="Calibri" w:hAnsi="Calibri"/>
          <w:b w:val="0"/>
          <w:color w:val="3A4A28"/>
          <w:sz w:val="20"/>
        </w:rPr>
        <w:t>Aging global VLCC fleet (46% over 15 years, 20% over 20 years) creating structural supply tightening as scrapping accelerates [1]</w:t>
      </w:r>
    </w:p>
    <w:p>
      <w:pPr>
        <w:spacing w:before="40" w:after="40"/>
        <w:ind w:left="283"/>
      </w:pPr>
      <w:r>
        <w:rPr>
          <w:rFonts w:ascii="Calibri" w:hAnsi="Calibri"/>
          <w:b/>
          <w:color w:val="4A6B25"/>
          <w:sz w:val="20"/>
        </w:rPr>
        <w:t xml:space="preserve">3. </w:t>
      </w:r>
      <w:r>
        <w:rPr>
          <w:rFonts w:ascii="Calibri" w:hAnsi="Calibri"/>
          <w:b w:val="0"/>
          <w:color w:val="3A4A28"/>
          <w:sz w:val="20"/>
        </w:rPr>
        <w:t>Geopolitical disruptions extending voyage distances — Red Sea rerouting and Iran sanctions increasing ton-mile demand for crude transportation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rate cyclicality — VLCC spot rates can decline 60-70% from peak levels, directly collapsing dividends under the 100% payout policy [1][4]</w:t>
      </w:r>
    </w:p>
    <w:p>
      <w:pPr>
        <w:spacing w:before="40" w:after="40"/>
        <w:ind w:left="283"/>
      </w:pPr>
      <w:r>
        <w:rPr>
          <w:rFonts w:ascii="Calibri" w:hAnsi="Calibri"/>
          <w:b/>
          <w:color w:val="4A6B25"/>
          <w:sz w:val="20"/>
        </w:rPr>
        <w:t xml:space="preserve">2. </w:t>
      </w:r>
      <w:r>
        <w:rPr>
          <w:rFonts w:ascii="Calibri" w:hAnsi="Calibri"/>
          <w:b w:val="0"/>
          <w:color w:val="3A4A28"/>
          <w:sz w:val="20"/>
        </w:rPr>
        <w:t>Newbuild orderbook at 22.2% of existing fleet could create oversupply pressure in 2027-2028 as deliveries accelerate industry-wide [2]</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reducing long-term crude oil transportation demand as renewable energy adoption accelerates, creating secular headwind for VLCC operators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VLCC crude oil tanker operations are fundamentally physical-world businesses that AI cannot displace — ships must physically carry crude oil across oceans regardless of AI advancement [2]. The aging global VLCC fleet (46% over 15 years old, 20% over 20 years old) creates supply constraints that AI cannot solve [1]. Geopolitical disruptions forcing longer voyage routes (Red Sea rerouting, Iran sanctions) increase tanker demand in ways entirely disconnected from AI trends. The business is immune to AI substitution. AI Opportunity (1/1): While DHT has no AI products, the explosion of AI data center construction is driving incremental global energy demand, which increases crude oil transportation volumes — AI infrastructure buildout is a net positive for tanker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DHT Holdings Q4 2025 Earnings Release and Investor Presentation — record earnings, fleet rates, Q1 2026 bookings, February 2026</w:t>
      </w:r>
    </w:p>
    <w:p>
      <w:pPr>
        <w:spacing w:before="20" w:after="20"/>
        <w:ind w:left="170"/>
      </w:pPr>
      <w:r>
        <w:rPr>
          <w:rFonts w:ascii="Calibri" w:hAnsi="Calibri"/>
          <w:b/>
          <w:color w:val="4A6B25"/>
          <w:sz w:val="15"/>
        </w:rPr>
        <w:t xml:space="preserve">2. </w:t>
      </w:r>
      <w:r>
        <w:rPr>
          <w:rFonts w:ascii="Calibri" w:hAnsi="Calibri"/>
          <w:b w:val="0"/>
          <w:color w:val="3A4A28"/>
          <w:sz w:val="17"/>
        </w:rPr>
        <w:t>DHT Holdings Annual Report (20-F) — management team, risk factors, fleet composition, March 2026</w:t>
      </w:r>
    </w:p>
    <w:p>
      <w:pPr>
        <w:spacing w:before="20" w:after="20"/>
        <w:ind w:left="170"/>
      </w:pPr>
      <w:r>
        <w:rPr>
          <w:rFonts w:ascii="Calibri" w:hAnsi="Calibri"/>
          <w:b/>
          <w:color w:val="4A6B25"/>
          <w:sz w:val="15"/>
        </w:rPr>
        <w:t xml:space="preserve">3. </w:t>
      </w:r>
      <w:r>
        <w:rPr>
          <w:rFonts w:ascii="Calibri" w:hAnsi="Calibri"/>
          <w:b w:val="0"/>
          <w:color w:val="3A4A28"/>
          <w:sz w:val="17"/>
        </w:rPr>
        <w:t>DHT Holdings 2024 Sustainability Report — ESG initiatives, environmental management, emissions reduction,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DHT (DHT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