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DINO</w:t>
      </w:r>
      <w:r>
        <w:rPr>
          <w:rFonts w:ascii="Calibri" w:hAnsi="Calibri"/>
          <w:b/>
          <w:color w:val="1A2010"/>
          <w:sz w:val="40"/>
        </w:rPr>
        <w:t xml:space="preserve">  HF Sinclair Corporation</w:t>
      </w:r>
    </w:p>
    <w:p>
      <w:pPr>
        <w:spacing w:after="120"/>
      </w:pPr>
      <w:r>
        <w:rPr>
          <w:rFonts w:ascii="Calibri" w:hAnsi="Calibri"/>
          <w:b/>
          <w:color w:val="6E8450"/>
          <w:sz w:val="18"/>
        </w:rPr>
        <w:t>DIVIDEND SLEEVE · 2026-04-10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HF Sinclair Corporation is an independent energy company operating refineries in Kansas, Oklahoma, New Mexico, Wyoming, Washington, and Utah. The company produces gasoline, diesel, jet fuel, renewable diesel, specialty lubricants, and asphalt through five segments: Refining, Renewables, Marketing, Lubricants &amp; Specialties, and Midstream. It supplies fuels to approximately 1,700 branded Sinclair stations.</w:t>
      </w:r>
    </w:p>
    <w:p>
      <w:r>
        <w:rPr>
          <w:rFonts w:ascii="Calibri" w:hAnsi="Calibri"/>
          <w:b/>
          <w:color w:val="6E8450"/>
          <w:sz w:val="18"/>
        </w:rPr>
        <w:t>5,165 Employees · https://www.hfsinclair.com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HF Sinclair's primary strategic move in the last 5 years was the 2022 merger of HollyFrontier with Sinclair Oil, creating a larger integrated refiner — this was consolidation rather than transformative innovation, and renewable diesel operations have underperformed expectations [1]. AI Deployment (1/2): HF Sinclair has engaged with Verdantis on AI and data integration for procurement and strategic decision-making, showing early-stage AI adoption for internal operations, though no customer-facing AI products exist [2]. Market Share (1/2): HF Sinclair operates seven refineries with ~678,000 bpd total throughput capacity and holds strong positions in the Rocky Mountain and PAD 5 refining markets, but is not the dominant player nationally — it competes with Valero, Marathon, and Phillips 66 at much larger scale [1]. Pipeline (1/2): $125M in growth capital planned for 2026 focused on refinery optimization and renewable diesel, with management citing structural advantages in heavy crude processing, but no transformative new product launches [1]. R&amp;D Intensity (0/1): As a refining company, HF Sinclair spends minimal on R&amp;D — capital is deployed for maintenance and operational efficiency rather than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HF Sinclair's purpose centers on providing reliable energy products — the Sinclair brand (dating to 1916) has heritage value but the mission itself is functional and interchangeable with other refiners, lacking a distinctive vision beyond operational excellence [3]. Community Impact (1/2): The company operates in rural communities across the Rocky Mountain region where its refineries are major employers, and has committed to a 25% GHG emissions intensity reduction by 2030, showing environmental responsibility within the hydrocarbon sector [3]. Employee Retention (1/2): Glassdoor rating of 3.7/5 with 82% recommendation rate is above average for the energy sector; however, reviews cite political internal culture and lack of transparency, suggesting mixed employee sentiment despite adequate retention (1/2 pts) [2]. Insider Buying (1/2): New CEO Franklin Myers and CFO Vivek Garg received stock awards in early 2026, but no open-market insider purchases were identified — compensation grants rather than personal conviction signals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HF Sinclair's financial profile reflects a cyclical refiner with a strong balance sheet but compressed margins. D/E of 36.0% is conservative for the sector, with $978M cash and manageable $3.3B debt against $10.2B market cap [5]. Forward P/E of 10.8x is cheap, supported by analyst projections of 78% EPS growth in 2026 and management's bullish refining margin outlook (100K-200K bpd global supply deficit) [1]. However, trailing metrics are weak: ROE of 6.3%, profit margin of just 2.2%, and revenue declining from $38.2B (2022 peak) to $26.9B (2025) — a 3-year CAGR of -11.1% driven by falling crack spreads from the 2022 refining supercycle [1][5]. Free cash flow of $1.03B is strong and supports the $2.00 annual dividend (3.5% yield), though the 65% payout ratio and flat dividend (unchanged 2024-2025) suggest caution. 38 consecutive years of dividend payments (since 1988) provides significant stability, and 5-year dividend CAGR of 7.4% exceeds inflation. Liquidity floor easily cleared at $170.7M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HF Sinclair's 38-year dividend payment history and the Sinclair brand heritage dating to 1916 suggest some infinite game qualities — this is a company built to endure across commodity cycles. However, the recent CEO transitions (Go to Myers in 2026), the reactive renewable diesel pivot, and reliance on EPA small refinery exemptions for earnings quality suggest a company managing the present rather than building for a transformative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HF Sinclair's purpose — reliably supplying energy products — is functional but lacks the inspirational qualities of a Just Cause (1/3 pts). The Sinclair brand (110+ years) has endurance value, but the company has not articulated a vision of the future that transcends hydrocarbon processing. The renewable diesel segment represents a nod toward energy transition but remains small and has underperformed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82% recommendation rate and 3.7/5 overall rating suggest adequate organizational trust for the energy sector (1/2 pts). However, reviews citing political culture, lack of transparency, and decisions that are 'ambiguous by design' indicate trust deficits in the corporate culture that may hinder collaboration and innovation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HF Sinclair acknowledges Valero, Marathon, and Phillips 66 as formidable competitors whose scale advantages push HF Sinclair to optimize its niche positions in PAD 5 and Rocky Mountain refining (1/1 pt). Management's focus on structural advantages (heavy crude processing, geographic positioning) rather than 'beating' competitors reflects a healthy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HollyFrontier-Sinclair merger and entry into renewable diesel demonstrate incremental strategic flexibility — adding a consumer brand, midstream assets, and renewable fuel capabilities to the legacy refining platform (1/2 pts). However, these moves are adjacent rather than transformative, and the renewable diesel business has struggled with margins, suggesting the flexibility was more opportunistic than cause-driven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HF Sinclair has demonstrated limited courage to lead — the company's earnings recovery in 2025 was significantly boosted by $313M in EPA small refinery exemption waivers rather than operational outperformance (0/2 pts). The CEO transition from Go to Myers in early 2026 creates leadership uncertainty, and sustaining capital cuts of $125M suggest defensive posture rather than bold long-term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HF Sinclair is a mid-cap independent refiner trading at 10.8x forward P/E with a 3.5% dividend yield, positioned for a refining margin recovery in 2026 [1]. Management is bullish on crack spreads, citing a structural 100,000-200,000 bpd global supply-demand deficit and HF Sinclair's advantaged heavy crude processing and PAD 5 geographic positioning [1]. The company delivered a major earnings recovery in 2025 — net income rose to $579M from $177M and adjusted EBITDA doubled to $2.3B — while generating $1.03B in free cash flow [1]. The balance sheet is conservative (36% D/E, $978M cash), and 38 consecutive years of dividend payments demonstrate durability across commodity cycles [5]. Analysts project 78% EPS growth to $2.39 in 2026, and reduced sustaining capex ($650M, down $125M) should improve FCF conversion [1].</w:t>
      </w:r>
    </w:p>
    <w:p>
      <w:pPr>
        <w:spacing w:after="120"/>
      </w:pPr>
      <w:r>
        <w:rPr>
          <w:rFonts w:ascii="Calibri" w:hAnsi="Calibri"/>
          <w:b w:val="0"/>
          <w:color w:val="3A4A28"/>
          <w:sz w:val="20"/>
        </w:rPr>
        <w:t>The bear case centers on cyclical earnings quality and structural headwinds. The 2025 earnings recovery was significantly inflated by $313M in EPA small refinery exemption waivers in Q4 — a one-time regulatory benefit that may not recur and artificially boosted refining margins [1]. Revenue has declined 30% from the 2022 peak ($38.2B to $26.9B) as the post-COVID refining supercycle normalized, and profit margin of just 2.2% reflects the inherently thin-margin refining business model [5]. The CEO transition from Tim Go (voluntary leave) to Franklin Myers in February 2026 creates leadership uncertainty at a critical moment. Renewable diesel operations have underperformed expectations, questioning the company's energy transition strategy. Long-term structural risks include EV adoption gradually reducing gasoline demand, tightening environmental regulations increasing operating costs, and ESG-related litigation scrutiny that could impact the company's reputation and access to capital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refining margin improvement in 2026 driven by 100K-200K bpd global supply-demand deficit and HF Sinclair's advantaged heavy crude and PAD 5 positioning [1]</w:t>
      </w:r>
    </w:p>
    <w:p>
      <w:pPr>
        <w:spacing w:before="40" w:after="40"/>
        <w:ind w:left="283"/>
      </w:pPr>
      <w:r>
        <w:rPr>
          <w:rFonts w:ascii="Calibri" w:hAnsi="Calibri"/>
          <w:b/>
          <w:color w:val="4A6B25"/>
          <w:sz w:val="20"/>
        </w:rPr>
        <w:t xml:space="preserve">2. </w:t>
      </w:r>
      <w:r>
        <w:rPr>
          <w:rFonts w:ascii="Calibri" w:hAnsi="Calibri"/>
          <w:b w:val="0"/>
          <w:color w:val="3A4A28"/>
          <w:sz w:val="20"/>
        </w:rPr>
        <w:t>Reduced sustaining capital ($650M, down $125M from prior year) combined with $1.03B FCF should support potential dividend increase or accelerated share buybacks [1]</w:t>
      </w:r>
    </w:p>
    <w:p>
      <w:pPr>
        <w:spacing w:before="40" w:after="40"/>
        <w:ind w:left="283"/>
      </w:pPr>
      <w:r>
        <w:rPr>
          <w:rFonts w:ascii="Calibri" w:hAnsi="Calibri"/>
          <w:b/>
          <w:color w:val="4A6B25"/>
          <w:sz w:val="20"/>
        </w:rPr>
        <w:t xml:space="preserve">3. </w:t>
      </w:r>
      <w:r>
        <w:rPr>
          <w:rFonts w:ascii="Calibri" w:hAnsi="Calibri"/>
          <w:b w:val="0"/>
          <w:color w:val="3A4A28"/>
          <w:sz w:val="20"/>
        </w:rPr>
        <w:t>Analysts projecting 78% EPS growth to $2.39 in 2026 — if achieved, the stock's 10.8x forward multiple would represent significant value relative to refining peers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EPA small refinery exemption waivers ($313M in Q4 2025) may not recur, exposing the true underlying refining margin profile as weaker than reported adjusted EBITDA suggests [1]</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Tim Go to Franklin Myers (February 2026) creates leadership uncertainty — Myers must establish strategic credibility while navigating volatile crack spread environments [1][2]</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gasoline demand from EV adoption and tightening environmental regulations could compress long-term refining utilization and margins, with renewable diesel segment failing to offset the transition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Petroleum refining is a physical-world industrial process that AI structurally cannot displace — converting crude oil into gasoline, diesel, jet fuel, and specialty products requires massive infrastructure (678,000 bpd capacity across seven refineries), regulatory permits, and decades of operational expertise [1]. The Sinclair branded station network (1,700+ locations) and midstream logistics cannot be digitized. Refining margins are driven by crude-product spreads, geopolitical dynamics, and supply-demand balances that AI cannot fundamentally alter. Long-term EV adoption represents a gradual demand risk for gasoline but jet fuel and specialty products remain structurally protected. AI Opportunity (0/1): HF Sinclair generates no meaningful revenue from AI — its early AI adoption for procurement and data analytics is internal efficiency-focused with no quantifiable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HF Sinclair Q4 2025 Earnings Call and Financial Results — $26.87B revenue, $579M net income, $2.3B adjusted EBITDA, $313M SRE benefit, 2026 capex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Verdantis podcast with HF Sinclair on AI and procurement transformation; Glassdoor reviews (3.7/5, 82% recommend); CEO Franklin Myers appointment,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HF Sinclair 2023 Sustainability Report — 25% GHG intensity reduction target by 2030, ESG scrutiny disclosures, Sustainalytics average ESG risk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transactions for DINO — Myers and Garg stock awards,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HF Sinclair Corporation (DINO) — key statistics,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