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DKI</w:t>
      </w:r>
      <w:r>
        <w:rPr>
          <w:rFonts w:ascii="Calibri" w:hAnsi="Calibri"/>
          <w:b/>
          <w:color w:val="1A2010"/>
          <w:sz w:val="40"/>
        </w:rPr>
        <w:t xml:space="preserve">  DarkIris Inc.</w:t>
      </w:r>
    </w:p>
    <w:p>
      <w:pPr>
        <w:spacing w:after="120"/>
      </w:pPr>
      <w:r>
        <w:rPr>
          <w:rFonts w:ascii="Calibri" w:hAnsi="Calibri"/>
          <w:b/>
          <w:color w:val="6E8450"/>
          <w:sz w:val="18"/>
        </w:rPr>
        <w:t>GROWTH SLEEVE · 2026-03-31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Hong Kong</w:t>
      </w:r>
    </w:p>
    <w:p>
      <w:pPr>
        <w:spacing w:after="80"/>
      </w:pPr>
      <w:r>
        <w:rPr>
          <w:rFonts w:ascii="Calibri" w:hAnsi="Calibri"/>
          <w:b w:val="0"/>
          <w:color w:val="3A4A28"/>
          <w:sz w:val="20"/>
        </w:rPr>
        <w:t>DarkIris Inc. is a Hong Kong-based mobile gaming company that develops, publishes, and operates mobile digital games across third-party digital storefronts in Hong Kong, Macau, and Taiwan. The company operates through subsidiaries Quantum Arts Co., Limited and Hongkong Stellar Wisdom Co., Limited, and is expanding into AI-Generated Content (AIGC) for video production.</w:t>
      </w:r>
    </w:p>
    <w:p>
      <w:r>
        <w:rPr>
          <w:rFonts w:ascii="Calibri" w:hAnsi="Calibri"/>
          <w:b/>
          <w:color w:val="6E8450"/>
          <w:sz w:val="18"/>
        </w:rPr>
        <w:t>50 Employees · https://www.darkiris.com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FY2025 revenue of $10.08M grew 27.3% YoY, but the company swung to a net loss of $8.64M from net income of $1.10M prior year, with gross margin compressing from 38.0% to 24.8% due to higher platform handling fees [1]. AI Deployment (1/2): DarkIris announced a 2026 AIGC platform initiative targeting 60% improvement in video production efficiency and 25% labor cost reduction, with Alpha testing planned for Q2 2026 and Beta 1.0 in Q3, but this is entirely aspirational with no shipped product [1]. Market Share (0/2): DarkIris is a micro-cap player ($5.9M market cap) in the highly competitive mobile gaming industry, operating in a small regional market (Hong Kong, Macau, Taiwan) with no meaningful market share or brand recognition globally [2]. Pipeline (1/2): The AIGC platform expansion represents a strategic pivot from pure gaming to AI-powered content creation, but execution risk is extreme given the company's limited resources and $1.8M cash position [1]. R&amp;D Intensity (0/1): Operating expenses of $11.1M are dominated by $8.81M in share-based compensation rather than productive R&amp;D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DarkIris's mission of creating 'engaging, immersive mobile game genres for a global audience' is generic and indistinguishable from thousands of mobile gaming companies worldwide [2]. The pivot to AIGC adds a technology angle but lacks a compelling higher purpose. Community Impact (0/2): With approximately 50 employees and operations limited to Hong Kong, Macau, and Taiwan, DarkIris has negligible community impact or economic footprint [2]. Employee Retention (0/2): No Glassdoor data is available for this micro-cap company; the board has only 0.5 years average tenure, suggesting a very new and unproven leadership team [2]. Insider Buying (1/2): Chairman/CEO Zhifang Hong holds Class B shares with 20:1 voting rights, maintaining control, but dual-class share structures in micro-cap companies often serve to entrench management rather than align interests with minority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DarkIris's financial profile is extremely distressed. Profit margin of -85.7% and ROE of -223.9% reflect a company burning cash far faster than it generates revenue [3]. Market cap of $5.9M, cash of only $1.8M, and a net loss of $8.64M on $10.08M revenue create near-term going-concern risk [1]. The stock trades at $0.29 with a 52-week range of $0.30–$15.00 (down 98% from IPO highs in August 2025), and Nasdaq issued a minimum bid price deficiency notice in November 2025 with a May 2026 cure deadline [1][2]. No forward P/E available; no analyst coverage. Liquidity floor check: 4.8M avg volume × $0.29 = $1.39M — barely clears the $1M threshold, but recent volume of only 58K shares suggests actual daily liquidity may be well below $1M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DarkIris exhibits predominantly finite game characteristics — a recently IPO'd micro-cap company with 0.5 years average board tenure, $8.81M in share-based compensation on $10.08M revenue, a Nasdaq delisting warning, and a speculative AIGC pivot that appears more like a survival strategy than a long-term vision. The dual-class share structure concentrating control in the CEO further suggests 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DarkIris's stated cause of creating engaging mobile games for a global audience is undifferentiated and lacks the depth required for an enduring just cause [2]. The company operates in Hong Kong, Macau, and Taiwan — a small addressable market — and the AIGC pivot appears driven by financial necessity rather than a compelling mission. The August 2025 Nasdaq listing followed by a 98% stock decline suggests the IPO may have been a liquidity event rather than a growth-enabling milestone.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a board averaging only 0.5 years tenure and a CEO appointed in March 2025, DarkIris has had insufficient time to build trusting teams [2]. The $8.81M in share-based compensation on $10.08M revenue raises questions about whether equity is being used to build talent or to compensate for an inability to pay competitive salaries. No employee reviews or cultural data are available for this micro-cap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DarkIris competes against global mobile gaming giants (Tencent, NetEase, miHoYo) and thousands of indie developers, but the company's shareholder letter and public communications show no evidence of studying or learning from rivals [1][2]. The AIGC pivot could be viewed as responding to competitive pressure, but the execution plan lacks the specificity and resources to compete against well-funded AI content creation platforms.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planned AIGC platform expansion represents an attempt at existential flexibility — pivoting from pure mobile gaming to AI-generated content creation [1]. However, pivoting with $1.8M in cash, a $5.9M market cap, and a Nasdaq delisting warning is more desperation than strategic flexibility. The company would need significant additional capital to execute this pivot, and the dual-class share structure may deter institutional investors.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DarkIris's leadership has not demonstrated courage in any meaningful sense. The company IPO'd at prices that have since collapsed 98%, the $8.81M share-based compensation on $10.08M revenue suggests prioritization of insider enrichment, and the Nasdaq compliance warning creates existential pressure [1][2]. The AIGC announcement reads more like a narrative to maintain listing status than a genuine strategic initiative backed by adequate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DarkIris Inc. is a speculative micro-cap mobile gaming company with a $5.9M market cap and severe fundamental challenges that make it unsuitable for most investors [1][3]. FY2025 revenue of $10.08M grew 27.3% but gross margin compressed from 38% to 24.8%, and the company posted a net loss of $8.64M — nearly equal to total revenue — driven by $8.81M in share-based compensation [1]. The stock has collapsed 98% from its August 2025 IPO high of $15.00 to $0.29, and Nasdaq issued a minimum bid price deficiency notice with a May 2026 cure deadline [2]. Cash of only $1.8M provides minimal runway. The speculative bull case rests entirely on the AIGC platform initiative, which management claims could improve video production efficiency by 60% and reduce labor costs by 25%, but this is aspirational with no shipped product and insufficient capital to execute [1].</w:t>
      </w:r>
    </w:p>
    <w:p>
      <w:pPr>
        <w:spacing w:after="120"/>
      </w:pPr>
      <w:r>
        <w:rPr>
          <w:rFonts w:ascii="Calibri" w:hAnsi="Calibri"/>
          <w:b w:val="0"/>
          <w:color w:val="3A4A28"/>
          <w:sz w:val="20"/>
        </w:rPr>
        <w:t>The bear case is overwhelming. DarkIris operates in a small regional gaming market (Hong Kong, Macau, Taiwan) with no meaningful competitive advantages, brand recognition, or IP portfolio [2]. The dual-class share structure (20:1 voting rights for Class B shares) concentrates control in CEO/Chairman Zhifang Hong while minority shareholders bear the financial risk. The board's 0.5-year average tenure suggests a newly assembled team with no track record. Share-based compensation of $8.81M on $10.08M revenue ($87 per $100 of revenue) is extreme and dilutive to existing shareholders [1]. Nasdaq delisting risk is real — if the stock fails to close above $1.00 for 10 consecutive business days by May 2026, the company will need to execute a reverse stock split or face delisting. With $1.8M cash and $8.6M annual losses, DarkIris faces near-term going-concern risk without additional dilutive 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AIGC platform Alpha testing in Q2 2026 and Beta 1.0 in Q3 2026 could demonstrate AI content creation capabilities and attract partnerships or investment [1]</w:t>
      </w:r>
    </w:p>
    <w:p>
      <w:pPr>
        <w:spacing w:before="40" w:after="40"/>
        <w:ind w:left="283"/>
      </w:pPr>
      <w:r>
        <w:rPr>
          <w:rFonts w:ascii="Calibri" w:hAnsi="Calibri"/>
          <w:b/>
          <w:color w:val="4A6B25"/>
          <w:sz w:val="20"/>
        </w:rPr>
        <w:t xml:space="preserve">2. </w:t>
      </w:r>
      <w:r>
        <w:rPr>
          <w:rFonts w:ascii="Calibri" w:hAnsi="Calibri"/>
          <w:b w:val="0"/>
          <w:color w:val="3A4A28"/>
          <w:sz w:val="20"/>
        </w:rPr>
        <w:t>Nasdaq compliance cure — a reverse stock split or sustained price appreciation above $1.00 by May 2026 would remove delisting overhang [2]</w:t>
      </w:r>
    </w:p>
    <w:p>
      <w:pPr>
        <w:spacing w:before="40" w:after="40"/>
        <w:ind w:left="283"/>
      </w:pPr>
      <w:r>
        <w:rPr>
          <w:rFonts w:ascii="Calibri" w:hAnsi="Calibri"/>
          <w:b/>
          <w:color w:val="4A6B25"/>
          <w:sz w:val="20"/>
        </w:rPr>
        <w:t xml:space="preserve">3. </w:t>
      </w:r>
      <w:r>
        <w:rPr>
          <w:rFonts w:ascii="Calibri" w:hAnsi="Calibri"/>
          <w:b w:val="0"/>
          <w:color w:val="3A4A28"/>
          <w:sz w:val="20"/>
        </w:rPr>
        <w:t>Continued mobile gaming revenue growth (27.3% in FY2025) from new title launches could improve gross margin and reduce cash burn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stock must close above $1.00 for 10 consecutive days by May 2026 or face forced delisting, which would devastate remaining shareholder value [2]</w:t>
      </w:r>
    </w:p>
    <w:p>
      <w:pPr>
        <w:spacing w:before="40" w:after="40"/>
        <w:ind w:left="283"/>
      </w:pPr>
      <w:r>
        <w:rPr>
          <w:rFonts w:ascii="Calibri" w:hAnsi="Calibri"/>
          <w:b/>
          <w:color w:val="4A6B25"/>
          <w:sz w:val="20"/>
        </w:rPr>
        <w:t xml:space="preserve">2. </w:t>
      </w:r>
      <w:r>
        <w:rPr>
          <w:rFonts w:ascii="Calibri" w:hAnsi="Calibri"/>
          <w:b w:val="0"/>
          <w:color w:val="3A4A28"/>
          <w:sz w:val="20"/>
        </w:rPr>
        <w:t>Going-concern risk — $1.8M cash with $8.6M annual net losses provides only 2-3 months of runway without additional dilutive financing [1]</w:t>
      </w:r>
    </w:p>
    <w:p>
      <w:pPr>
        <w:spacing w:before="40" w:after="40"/>
        <w:ind w:left="283"/>
      </w:pPr>
      <w:r>
        <w:rPr>
          <w:rFonts w:ascii="Calibri" w:hAnsi="Calibri"/>
          <w:b/>
          <w:color w:val="4A6B25"/>
          <w:sz w:val="20"/>
        </w:rPr>
        <w:t xml:space="preserve">3. </w:t>
      </w:r>
      <w:r>
        <w:rPr>
          <w:rFonts w:ascii="Calibri" w:hAnsi="Calibri"/>
          <w:b w:val="0"/>
          <w:color w:val="3A4A28"/>
          <w:sz w:val="20"/>
        </w:rPr>
        <w:t>Extreme share-based compensation ($8.81M on $10.08M revenue) and dual-class share structure suggest misalignment between management and minority shareholders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Mobile gaming is highly susceptible to AI disruption — generative AI tools are rapidly lowering barriers to game creation, enabling individuals and small teams to produce content that previously required larger studios [1]. DarkIris's competitive position in game design, programming, and graphics could be commoditized as AI-powered game development tools proliferate. The company's limited IP portfolio and regional focus provide minimal protection against AI-enabled global competitors. AI Opportunity (1/1): DarkIris is attempting to pivot toward AI as an enabler through its AIGC platform, which could reduce production costs and expand into video content creation — but this is entirely aspirational with no shipped product and minimal funding to execute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DarkIris Inc. FY2025 Annual Results — $10.08M revenue (+27.3%), $8.64M net loss, $1.8M cash, AIGC platform 2026 initiative, January-February 2026</w:t>
      </w:r>
    </w:p>
    <w:p>
      <w:pPr>
        <w:spacing w:before="20" w:after="20"/>
        <w:ind w:left="170"/>
      </w:pPr>
      <w:r>
        <w:rPr>
          <w:rFonts w:ascii="Calibri" w:hAnsi="Calibri"/>
          <w:b/>
          <w:color w:val="4A6B25"/>
          <w:sz w:val="15"/>
        </w:rPr>
        <w:t xml:space="preserve">2. </w:t>
      </w:r>
      <w:r>
        <w:rPr>
          <w:rFonts w:ascii="Calibri" w:hAnsi="Calibri"/>
          <w:b w:val="0"/>
          <w:color w:val="3A4A28"/>
          <w:sz w:val="17"/>
        </w:rPr>
        <w:t>DarkIris Inc. Company Profile — CEO Zhifang Hong, 0.5-year board tenure, Nasdaq compliance notice, dual-class structure,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DKI (DarkIris Inc.),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